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6D9E" w:rsidRPr="00712B67" w:rsidRDefault="00716D9E" w:rsidP="00716D9E">
      <w:pPr>
        <w:spacing w:after="0" w:line="240" w:lineRule="auto"/>
        <w:ind w:left="-426"/>
        <w:jc w:val="center"/>
        <w:rPr>
          <w:rFonts w:eastAsia="Times New Roman" w:cstheme="minorHAnsi"/>
          <w:lang w:eastAsia="en-GB"/>
        </w:rPr>
      </w:pPr>
      <w:bookmarkStart w:id="0" w:name="_GoBack"/>
      <w:bookmarkEnd w:id="0"/>
      <w:r w:rsidRPr="00712B67">
        <w:rPr>
          <w:rFonts w:eastAsia="Times New Roman" w:cstheme="minorHAnsi"/>
          <w:lang w:eastAsia="en-GB"/>
        </w:rPr>
        <w:t xml:space="preserve">          </w:t>
      </w:r>
    </w:p>
    <w:p w:rsidR="00716D9E" w:rsidRPr="00712B67" w:rsidRDefault="00716D9E" w:rsidP="00716D9E">
      <w:pPr>
        <w:spacing w:after="0" w:line="240" w:lineRule="auto"/>
        <w:rPr>
          <w:rFonts w:eastAsia="Times New Roman" w:cstheme="minorHAnsi"/>
          <w:b/>
          <w:lang w:eastAsia="en-GB"/>
        </w:rPr>
      </w:pPr>
    </w:p>
    <w:p w:rsidR="00BB7576" w:rsidRPr="00712B67" w:rsidRDefault="00BB7576" w:rsidP="00716D9E">
      <w:pPr>
        <w:spacing w:after="0" w:line="240" w:lineRule="auto"/>
        <w:ind w:left="-142"/>
        <w:jc w:val="center"/>
        <w:rPr>
          <w:rFonts w:eastAsia="Times New Roman" w:cstheme="minorHAnsi"/>
          <w:b/>
          <w:lang w:eastAsia="en-GB"/>
        </w:rPr>
      </w:pPr>
    </w:p>
    <w:p w:rsidR="00716D9E" w:rsidRPr="00712B67" w:rsidRDefault="00BB7576" w:rsidP="00716D9E">
      <w:pPr>
        <w:spacing w:after="0" w:line="240" w:lineRule="auto"/>
        <w:ind w:left="-142"/>
        <w:jc w:val="center"/>
        <w:rPr>
          <w:rFonts w:eastAsia="Times New Roman" w:cstheme="minorHAnsi"/>
          <w:b/>
          <w:lang w:eastAsia="en-GB"/>
        </w:rPr>
      </w:pPr>
      <w:r w:rsidRPr="00712B67">
        <w:rPr>
          <w:rFonts w:eastAsia="Times New Roman" w:cstheme="minorHAnsi"/>
          <w:b/>
          <w:lang w:eastAsia="en-GB"/>
        </w:rPr>
        <w:t>S</w:t>
      </w:r>
      <w:r w:rsidR="003A6D09" w:rsidRPr="00712B67">
        <w:rPr>
          <w:rFonts w:eastAsia="Times New Roman" w:cstheme="minorHAnsi"/>
          <w:b/>
          <w:lang w:eastAsia="en-GB"/>
        </w:rPr>
        <w:t xml:space="preserve">hared Spaces </w:t>
      </w:r>
      <w:r w:rsidR="0012022E" w:rsidRPr="00712B67">
        <w:rPr>
          <w:rFonts w:eastAsia="Times New Roman" w:cstheme="minorHAnsi"/>
          <w:b/>
          <w:lang w:eastAsia="en-GB"/>
        </w:rPr>
        <w:t>Capital Project Board meeting</w:t>
      </w:r>
    </w:p>
    <w:p w:rsidR="00716D9E" w:rsidRPr="00712B67" w:rsidRDefault="00716D9E" w:rsidP="00716D9E">
      <w:pPr>
        <w:spacing w:after="0" w:line="240" w:lineRule="auto"/>
        <w:ind w:left="-142"/>
        <w:jc w:val="center"/>
        <w:rPr>
          <w:rFonts w:eastAsia="Times New Roman" w:cstheme="minorHAnsi"/>
          <w:b/>
          <w:lang w:eastAsia="en-GB"/>
        </w:rPr>
      </w:pPr>
    </w:p>
    <w:p w:rsidR="00716D9E" w:rsidRPr="00712B67" w:rsidRDefault="00024C32" w:rsidP="00716D9E">
      <w:pPr>
        <w:spacing w:after="0" w:line="240" w:lineRule="auto"/>
        <w:ind w:left="-142"/>
        <w:jc w:val="center"/>
        <w:rPr>
          <w:rFonts w:eastAsia="Times New Roman" w:cstheme="minorHAnsi"/>
          <w:b/>
          <w:lang w:eastAsia="en-GB"/>
        </w:rPr>
      </w:pPr>
      <w:r>
        <w:rPr>
          <w:rFonts w:eastAsia="Times New Roman" w:cstheme="minorHAnsi"/>
          <w:b/>
          <w:lang w:eastAsia="en-GB"/>
        </w:rPr>
        <w:t>Monday 3 February 2020, 10.00 am</w:t>
      </w:r>
    </w:p>
    <w:p w:rsidR="00716D9E" w:rsidRPr="00712B67" w:rsidRDefault="00716D9E" w:rsidP="00716D9E">
      <w:pPr>
        <w:spacing w:after="0" w:line="240" w:lineRule="auto"/>
        <w:jc w:val="both"/>
        <w:rPr>
          <w:rFonts w:eastAsia="Times New Roman" w:cstheme="minorHAnsi"/>
          <w:b/>
          <w:lang w:eastAsia="en-GB"/>
        </w:rPr>
      </w:pPr>
    </w:p>
    <w:p w:rsidR="00755DC4" w:rsidRPr="00712B67" w:rsidRDefault="00B51195" w:rsidP="00716D9E">
      <w:pPr>
        <w:spacing w:after="0" w:line="240" w:lineRule="auto"/>
        <w:jc w:val="both"/>
        <w:rPr>
          <w:rFonts w:eastAsia="Times New Roman" w:cstheme="minorHAnsi"/>
          <w:b/>
          <w:lang w:eastAsia="en-GB"/>
        </w:rPr>
      </w:pPr>
      <w:r w:rsidRPr="00712B67">
        <w:rPr>
          <w:rFonts w:eastAsia="Times New Roman" w:cstheme="minorHAnsi"/>
          <w:b/>
          <w:lang w:eastAsia="en-GB"/>
        </w:rPr>
        <w:t xml:space="preserve"> </w:t>
      </w:r>
    </w:p>
    <w:p w:rsidR="00197DD6" w:rsidRPr="00712B67" w:rsidRDefault="00197DD6" w:rsidP="00B03FB1">
      <w:pPr>
        <w:spacing w:after="0" w:line="240" w:lineRule="auto"/>
        <w:jc w:val="both"/>
        <w:rPr>
          <w:rFonts w:eastAsia="Times New Roman" w:cstheme="minorHAnsi"/>
          <w:b/>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273"/>
      </w:tblGrid>
      <w:tr w:rsidR="00197DD6" w:rsidRPr="00712B67" w:rsidTr="00197DD6">
        <w:tc>
          <w:tcPr>
            <w:tcW w:w="2263" w:type="dxa"/>
          </w:tcPr>
          <w:p w:rsidR="00197DD6" w:rsidRPr="00712B67" w:rsidRDefault="00197DD6" w:rsidP="00B03FB1">
            <w:pPr>
              <w:jc w:val="both"/>
              <w:rPr>
                <w:rFonts w:cstheme="minorHAnsi"/>
                <w:b/>
                <w:lang w:eastAsia="en-GB"/>
              </w:rPr>
            </w:pPr>
            <w:r w:rsidRPr="00712B67">
              <w:rPr>
                <w:rFonts w:cstheme="minorHAnsi"/>
                <w:b/>
                <w:lang w:eastAsia="en-GB"/>
              </w:rPr>
              <w:t>PRESENT:</w:t>
            </w:r>
          </w:p>
        </w:tc>
        <w:tc>
          <w:tcPr>
            <w:tcW w:w="6273" w:type="dxa"/>
          </w:tcPr>
          <w:p w:rsidR="00197DD6" w:rsidRPr="00712B67" w:rsidRDefault="00197DD6" w:rsidP="00197DD6">
            <w:pPr>
              <w:rPr>
                <w:rFonts w:cstheme="minorHAnsi"/>
                <w:lang w:eastAsia="en-GB"/>
              </w:rPr>
            </w:pPr>
            <w:r w:rsidRPr="00712B67">
              <w:rPr>
                <w:rFonts w:cstheme="minorHAnsi"/>
                <w:lang w:eastAsia="en-GB"/>
              </w:rPr>
              <w:t>Nigel Grimshaw, Strategic Director of City and Neighbourhood Services</w:t>
            </w:r>
          </w:p>
          <w:p w:rsidR="00712B67" w:rsidRPr="00712B67" w:rsidRDefault="00197DD6" w:rsidP="00197DD6">
            <w:pPr>
              <w:rPr>
                <w:rFonts w:cstheme="minorHAnsi"/>
                <w:lang w:eastAsia="en-GB"/>
              </w:rPr>
            </w:pPr>
            <w:r w:rsidRPr="00712B67">
              <w:rPr>
                <w:rFonts w:cstheme="minorHAnsi"/>
                <w:lang w:eastAsia="en-GB"/>
              </w:rPr>
              <w:t xml:space="preserve">Ryan Black, Director City and Neighbourhood Services </w:t>
            </w:r>
          </w:p>
          <w:p w:rsidR="00712B67" w:rsidRPr="00712B67" w:rsidRDefault="00C477B5" w:rsidP="00197DD6">
            <w:pPr>
              <w:rPr>
                <w:rFonts w:cstheme="minorHAnsi"/>
                <w:lang w:eastAsia="en-GB"/>
              </w:rPr>
            </w:pPr>
            <w:r>
              <w:rPr>
                <w:rFonts w:cstheme="minorHAnsi"/>
                <w:lang w:eastAsia="en-GB"/>
              </w:rPr>
              <w:t>Debbie McKinney, Peace IV Manager</w:t>
            </w:r>
          </w:p>
          <w:p w:rsidR="00712B67" w:rsidRDefault="00712B67" w:rsidP="00197DD6">
            <w:pPr>
              <w:rPr>
                <w:rFonts w:cstheme="minorHAnsi"/>
                <w:lang w:eastAsia="en-GB"/>
              </w:rPr>
            </w:pPr>
            <w:r>
              <w:rPr>
                <w:rFonts w:cstheme="minorHAnsi"/>
                <w:lang w:eastAsia="en-GB"/>
              </w:rPr>
              <w:t>Martin Doherty, Project Manager</w:t>
            </w:r>
          </w:p>
          <w:p w:rsidR="00C477B5" w:rsidRDefault="00C477B5" w:rsidP="00197DD6">
            <w:pPr>
              <w:rPr>
                <w:rFonts w:cstheme="minorHAnsi"/>
                <w:lang w:eastAsia="en-GB"/>
              </w:rPr>
            </w:pPr>
            <w:r>
              <w:rPr>
                <w:rFonts w:cstheme="minorHAnsi"/>
                <w:lang w:eastAsia="en-GB"/>
              </w:rPr>
              <w:t>James Moore, CPD</w:t>
            </w:r>
          </w:p>
          <w:p w:rsidR="00C477B5" w:rsidRPr="00712B67" w:rsidRDefault="00C477B5" w:rsidP="00197DD6">
            <w:pPr>
              <w:rPr>
                <w:rFonts w:cstheme="minorHAnsi"/>
                <w:lang w:eastAsia="en-GB"/>
              </w:rPr>
            </w:pPr>
            <w:r>
              <w:rPr>
                <w:rFonts w:cstheme="minorHAnsi"/>
                <w:lang w:eastAsia="en-GB"/>
              </w:rPr>
              <w:t>Matthew McGrath, SEUPB</w:t>
            </w:r>
          </w:p>
          <w:p w:rsidR="00197DD6" w:rsidRPr="00712B67" w:rsidRDefault="00712B67" w:rsidP="00197DD6">
            <w:pPr>
              <w:rPr>
                <w:rFonts w:cstheme="minorHAnsi"/>
                <w:lang w:eastAsia="en-GB"/>
              </w:rPr>
            </w:pPr>
            <w:r>
              <w:rPr>
                <w:rFonts w:cstheme="minorHAnsi"/>
                <w:lang w:eastAsia="en-GB"/>
              </w:rPr>
              <w:t xml:space="preserve">Gerard Kennedy, </w:t>
            </w:r>
            <w:r w:rsidR="00197DD6" w:rsidRPr="00712B67">
              <w:rPr>
                <w:rFonts w:cstheme="minorHAnsi"/>
                <w:lang w:eastAsia="en-GB"/>
              </w:rPr>
              <w:t>Assistant Project Manager</w:t>
            </w:r>
          </w:p>
          <w:p w:rsidR="00197DD6" w:rsidRPr="00712B67" w:rsidRDefault="00197DD6" w:rsidP="00197DD6">
            <w:pPr>
              <w:rPr>
                <w:rFonts w:cstheme="minorHAnsi"/>
                <w:lang w:eastAsia="en-GB"/>
              </w:rPr>
            </w:pPr>
            <w:r w:rsidRPr="00712B67">
              <w:rPr>
                <w:rFonts w:cstheme="minorHAnsi"/>
                <w:lang w:eastAsia="en-GB"/>
              </w:rPr>
              <w:t>Neil Gowdy, Assistant Project Manager</w:t>
            </w:r>
          </w:p>
          <w:p w:rsidR="00197DD6" w:rsidRPr="00712B67" w:rsidRDefault="00712B67" w:rsidP="00197DD6">
            <w:pPr>
              <w:rPr>
                <w:rFonts w:cstheme="minorHAnsi"/>
                <w:lang w:eastAsia="en-GB"/>
              </w:rPr>
            </w:pPr>
            <w:r>
              <w:rPr>
                <w:rFonts w:cstheme="minorHAnsi"/>
                <w:lang w:eastAsia="en-GB"/>
              </w:rPr>
              <w:t xml:space="preserve">Celine Dunlop, </w:t>
            </w:r>
            <w:r w:rsidR="00197DD6" w:rsidRPr="00712B67">
              <w:rPr>
                <w:rFonts w:cstheme="minorHAnsi"/>
                <w:lang w:eastAsia="en-GB"/>
              </w:rPr>
              <w:t>Estates Unit</w:t>
            </w:r>
          </w:p>
          <w:p w:rsidR="00197DD6" w:rsidRPr="00712B67" w:rsidRDefault="00712B67" w:rsidP="00197DD6">
            <w:pPr>
              <w:rPr>
                <w:rFonts w:cstheme="minorHAnsi"/>
                <w:b/>
                <w:lang w:eastAsia="en-GB"/>
              </w:rPr>
            </w:pPr>
            <w:r>
              <w:rPr>
                <w:rFonts w:cstheme="minorHAnsi"/>
                <w:lang w:eastAsia="en-GB"/>
              </w:rPr>
              <w:t xml:space="preserve">Kirsten Mullen, </w:t>
            </w:r>
            <w:r w:rsidR="00197DD6" w:rsidRPr="00712B67">
              <w:rPr>
                <w:rFonts w:cstheme="minorHAnsi"/>
                <w:lang w:eastAsia="en-GB"/>
              </w:rPr>
              <w:t>Project Sponsor</w:t>
            </w:r>
          </w:p>
        </w:tc>
      </w:tr>
    </w:tbl>
    <w:p w:rsidR="00197DD6" w:rsidRPr="00712B67" w:rsidRDefault="00197DD6" w:rsidP="00B03FB1">
      <w:pPr>
        <w:spacing w:after="0" w:line="240" w:lineRule="auto"/>
        <w:jc w:val="both"/>
        <w:rPr>
          <w:rFonts w:eastAsia="Times New Roman" w:cstheme="minorHAnsi"/>
          <w:b/>
          <w:lang w:eastAsia="en-GB"/>
        </w:rPr>
      </w:pPr>
    </w:p>
    <w:p w:rsidR="008555C7" w:rsidRPr="00712B67" w:rsidRDefault="006D7F8B" w:rsidP="00716D9E">
      <w:pPr>
        <w:spacing w:after="0" w:line="240" w:lineRule="auto"/>
        <w:jc w:val="both"/>
        <w:rPr>
          <w:rFonts w:eastAsia="Times New Roman" w:cstheme="minorHAnsi"/>
          <w:lang w:eastAsia="en-GB"/>
        </w:rPr>
      </w:pPr>
      <w:r w:rsidRPr="00712B67">
        <w:rPr>
          <w:rFonts w:eastAsia="Times New Roman" w:cstheme="minorHAnsi"/>
          <w:lang w:eastAsia="en-GB"/>
        </w:rPr>
        <w:tab/>
      </w:r>
      <w:r w:rsidRPr="00712B67">
        <w:rPr>
          <w:rFonts w:eastAsia="Times New Roman" w:cstheme="minorHAnsi"/>
          <w:lang w:eastAsia="en-GB"/>
        </w:rPr>
        <w:tab/>
      </w:r>
      <w:r w:rsidR="0055214E" w:rsidRPr="00712B67">
        <w:rPr>
          <w:rFonts w:eastAsia="Times New Roman" w:cstheme="minorHAnsi"/>
          <w:lang w:eastAsia="en-GB"/>
        </w:rPr>
        <w:tab/>
      </w:r>
      <w:r w:rsidR="008555C7" w:rsidRPr="00712B67">
        <w:rPr>
          <w:rFonts w:eastAsia="Times New Roman" w:cstheme="minorHAnsi"/>
          <w:lang w:eastAsia="en-GB"/>
        </w:rPr>
        <w:t xml:space="preserve"> </w:t>
      </w:r>
    </w:p>
    <w:p w:rsidR="00716D9E" w:rsidRPr="00712B67" w:rsidRDefault="002B69B4" w:rsidP="00716D9E">
      <w:pPr>
        <w:spacing w:after="0" w:line="240" w:lineRule="auto"/>
        <w:jc w:val="both"/>
        <w:rPr>
          <w:rFonts w:eastAsia="Times New Roman" w:cstheme="minorHAnsi"/>
          <w:lang w:eastAsia="en-GB"/>
        </w:rPr>
      </w:pPr>
      <w:r w:rsidRPr="00712B67">
        <w:rPr>
          <w:rFonts w:eastAsia="Times New Roman" w:cstheme="minorHAnsi"/>
          <w:lang w:eastAsia="en-GB"/>
        </w:rPr>
        <w:t xml:space="preserve">                     </w:t>
      </w:r>
    </w:p>
    <w:tbl>
      <w:tblPr>
        <w:tblW w:w="1010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9"/>
        <w:gridCol w:w="7796"/>
        <w:gridCol w:w="1560"/>
      </w:tblGrid>
      <w:tr w:rsidR="00F261C8" w:rsidRPr="00712B67" w:rsidTr="00F261C8">
        <w:trPr>
          <w:trHeight w:val="380"/>
        </w:trPr>
        <w:tc>
          <w:tcPr>
            <w:tcW w:w="749" w:type="dxa"/>
          </w:tcPr>
          <w:p w:rsidR="00716D9E" w:rsidRPr="00712B67" w:rsidRDefault="00716D9E" w:rsidP="00AF0510">
            <w:pPr>
              <w:spacing w:after="0" w:line="240" w:lineRule="auto"/>
              <w:rPr>
                <w:rFonts w:eastAsia="Times New Roman" w:cstheme="minorHAnsi"/>
                <w:b/>
                <w:lang w:eastAsia="en-GB"/>
              </w:rPr>
            </w:pPr>
            <w:r w:rsidRPr="00712B67">
              <w:rPr>
                <w:rFonts w:eastAsia="Times New Roman" w:cstheme="minorHAnsi"/>
                <w:b/>
                <w:lang w:eastAsia="en-GB"/>
              </w:rPr>
              <w:t>1</w:t>
            </w:r>
            <w:r w:rsidR="00206753" w:rsidRPr="00712B67">
              <w:rPr>
                <w:rFonts w:eastAsia="Times New Roman" w:cstheme="minorHAnsi"/>
                <w:b/>
                <w:lang w:eastAsia="en-GB"/>
              </w:rPr>
              <w:t>.</w:t>
            </w:r>
          </w:p>
        </w:tc>
        <w:tc>
          <w:tcPr>
            <w:tcW w:w="7796" w:type="dxa"/>
          </w:tcPr>
          <w:p w:rsidR="00716D9E" w:rsidRPr="00712B67" w:rsidRDefault="00206753" w:rsidP="001D7FF1">
            <w:pPr>
              <w:spacing w:after="0" w:line="240" w:lineRule="auto"/>
              <w:rPr>
                <w:rFonts w:eastAsia="Times New Roman" w:cstheme="minorHAnsi"/>
                <w:lang w:eastAsia="en-GB"/>
              </w:rPr>
            </w:pPr>
            <w:r w:rsidRPr="00712B67">
              <w:rPr>
                <w:rFonts w:eastAsia="Times New Roman" w:cstheme="minorHAnsi"/>
                <w:b/>
                <w:lang w:eastAsia="en-GB"/>
              </w:rPr>
              <w:t>Apologies</w:t>
            </w:r>
          </w:p>
        </w:tc>
        <w:tc>
          <w:tcPr>
            <w:tcW w:w="1560" w:type="dxa"/>
          </w:tcPr>
          <w:p w:rsidR="00716D9E" w:rsidRPr="00712B67" w:rsidRDefault="00716D9E" w:rsidP="00716D9E">
            <w:pPr>
              <w:spacing w:after="0" w:line="240" w:lineRule="auto"/>
              <w:rPr>
                <w:rFonts w:eastAsia="Times New Roman" w:cstheme="minorHAnsi"/>
                <w:b/>
                <w:lang w:eastAsia="en-GB"/>
              </w:rPr>
            </w:pPr>
            <w:r w:rsidRPr="00712B67">
              <w:rPr>
                <w:rFonts w:eastAsia="Times New Roman" w:cstheme="minorHAnsi"/>
                <w:b/>
                <w:lang w:eastAsia="en-GB"/>
              </w:rPr>
              <w:t>ACTION</w:t>
            </w:r>
          </w:p>
        </w:tc>
      </w:tr>
      <w:tr w:rsidR="00F261C8" w:rsidRPr="00712B67" w:rsidTr="00F261C8">
        <w:trPr>
          <w:trHeight w:val="510"/>
        </w:trPr>
        <w:tc>
          <w:tcPr>
            <w:tcW w:w="749" w:type="dxa"/>
          </w:tcPr>
          <w:p w:rsidR="00716D9E" w:rsidRPr="00712B67" w:rsidRDefault="00716D9E" w:rsidP="00716D9E">
            <w:pPr>
              <w:spacing w:after="0" w:line="240" w:lineRule="auto"/>
              <w:rPr>
                <w:rFonts w:eastAsia="Times New Roman" w:cstheme="minorHAnsi"/>
                <w:lang w:eastAsia="en-GB"/>
              </w:rPr>
            </w:pPr>
          </w:p>
        </w:tc>
        <w:tc>
          <w:tcPr>
            <w:tcW w:w="7796" w:type="dxa"/>
          </w:tcPr>
          <w:p w:rsidR="00716D9E" w:rsidRPr="00712B67" w:rsidRDefault="00E26244" w:rsidP="001D7FF1">
            <w:pPr>
              <w:rPr>
                <w:rFonts w:eastAsia="Times New Roman" w:cstheme="minorHAnsi"/>
                <w:lang w:eastAsia="en-GB"/>
              </w:rPr>
            </w:pPr>
            <w:r>
              <w:rPr>
                <w:rFonts w:eastAsia="Times New Roman" w:cstheme="minorHAnsi"/>
                <w:lang w:eastAsia="en-GB"/>
              </w:rPr>
              <w:t xml:space="preserve">Apologies were </w:t>
            </w:r>
            <w:r w:rsidR="008947C5">
              <w:rPr>
                <w:rFonts w:eastAsia="Times New Roman" w:cstheme="minorHAnsi"/>
                <w:lang w:eastAsia="en-GB"/>
              </w:rPr>
              <w:t>received</w:t>
            </w:r>
            <w:r w:rsidR="00712B67" w:rsidRPr="00712B67">
              <w:rPr>
                <w:rFonts w:eastAsia="Times New Roman" w:cstheme="minorHAnsi"/>
                <w:lang w:eastAsia="en-GB"/>
              </w:rPr>
              <w:t xml:space="preserve"> from Sinead Grimes, Director of Physical Programmes</w:t>
            </w:r>
            <w:r w:rsidR="00024C32">
              <w:rPr>
                <w:rFonts w:eastAsia="Times New Roman" w:cstheme="minorHAnsi"/>
                <w:lang w:eastAsia="en-GB"/>
              </w:rPr>
              <w:t xml:space="preserve"> and Alison Allen, Neighbourhood Manager.</w:t>
            </w:r>
          </w:p>
        </w:tc>
        <w:tc>
          <w:tcPr>
            <w:tcW w:w="1560" w:type="dxa"/>
          </w:tcPr>
          <w:p w:rsidR="00716D9E" w:rsidRPr="00712B67" w:rsidRDefault="00716D9E" w:rsidP="00716D9E">
            <w:pPr>
              <w:spacing w:after="0" w:line="240" w:lineRule="auto"/>
              <w:rPr>
                <w:rFonts w:eastAsia="Times New Roman" w:cstheme="minorHAnsi"/>
                <w:lang w:eastAsia="en-GB"/>
              </w:rPr>
            </w:pPr>
          </w:p>
        </w:tc>
      </w:tr>
      <w:tr w:rsidR="00206753" w:rsidRPr="00712B67" w:rsidTr="00F261C8">
        <w:trPr>
          <w:trHeight w:val="510"/>
        </w:trPr>
        <w:tc>
          <w:tcPr>
            <w:tcW w:w="749" w:type="dxa"/>
          </w:tcPr>
          <w:p w:rsidR="00206753" w:rsidRPr="00712B67" w:rsidRDefault="00206753" w:rsidP="00716D9E">
            <w:pPr>
              <w:spacing w:after="0" w:line="240" w:lineRule="auto"/>
              <w:rPr>
                <w:rFonts w:eastAsia="Times New Roman" w:cstheme="minorHAnsi"/>
                <w:b/>
                <w:lang w:eastAsia="en-GB"/>
              </w:rPr>
            </w:pPr>
            <w:r w:rsidRPr="00712B67">
              <w:rPr>
                <w:rFonts w:eastAsia="Times New Roman" w:cstheme="minorHAnsi"/>
                <w:b/>
                <w:lang w:eastAsia="en-GB"/>
              </w:rPr>
              <w:t xml:space="preserve">2. </w:t>
            </w:r>
          </w:p>
        </w:tc>
        <w:tc>
          <w:tcPr>
            <w:tcW w:w="7796" w:type="dxa"/>
          </w:tcPr>
          <w:p w:rsidR="00206753" w:rsidRPr="00712B67" w:rsidRDefault="00206753" w:rsidP="001D7FF1">
            <w:pPr>
              <w:rPr>
                <w:rFonts w:eastAsia="Times New Roman" w:cstheme="minorHAnsi"/>
                <w:b/>
                <w:lang w:eastAsia="en-GB"/>
              </w:rPr>
            </w:pPr>
            <w:r w:rsidRPr="00712B67">
              <w:rPr>
                <w:rFonts w:eastAsia="Times New Roman" w:cstheme="minorHAnsi"/>
                <w:b/>
                <w:lang w:eastAsia="en-GB"/>
              </w:rPr>
              <w:t>Minutes of the last meeting</w:t>
            </w:r>
          </w:p>
        </w:tc>
        <w:tc>
          <w:tcPr>
            <w:tcW w:w="1560" w:type="dxa"/>
          </w:tcPr>
          <w:p w:rsidR="00206753" w:rsidRPr="00712B67" w:rsidRDefault="00206753" w:rsidP="00716D9E">
            <w:pPr>
              <w:spacing w:after="0" w:line="240" w:lineRule="auto"/>
              <w:rPr>
                <w:rFonts w:eastAsia="Times New Roman" w:cstheme="minorHAnsi"/>
                <w:lang w:eastAsia="en-GB"/>
              </w:rPr>
            </w:pPr>
          </w:p>
        </w:tc>
      </w:tr>
      <w:tr w:rsidR="00206753" w:rsidRPr="00712B67" w:rsidTr="00F261C8">
        <w:trPr>
          <w:trHeight w:val="510"/>
        </w:trPr>
        <w:tc>
          <w:tcPr>
            <w:tcW w:w="749" w:type="dxa"/>
          </w:tcPr>
          <w:p w:rsidR="00206753" w:rsidRPr="00712B67" w:rsidRDefault="00206753" w:rsidP="00716D9E">
            <w:pPr>
              <w:spacing w:after="0" w:line="240" w:lineRule="auto"/>
              <w:rPr>
                <w:rFonts w:eastAsia="Times New Roman" w:cstheme="minorHAnsi"/>
                <w:lang w:eastAsia="en-GB"/>
              </w:rPr>
            </w:pPr>
          </w:p>
        </w:tc>
        <w:tc>
          <w:tcPr>
            <w:tcW w:w="7796" w:type="dxa"/>
          </w:tcPr>
          <w:p w:rsidR="00331D34" w:rsidRPr="00712B67" w:rsidRDefault="00206753" w:rsidP="001D7FF1">
            <w:pPr>
              <w:rPr>
                <w:rFonts w:eastAsia="Times New Roman" w:cstheme="minorHAnsi"/>
                <w:lang w:eastAsia="en-GB"/>
              </w:rPr>
            </w:pPr>
            <w:r w:rsidRPr="00712B67">
              <w:rPr>
                <w:rFonts w:eastAsia="Times New Roman" w:cstheme="minorHAnsi"/>
                <w:lang w:eastAsia="en-GB"/>
              </w:rPr>
              <w:t>The note o</w:t>
            </w:r>
            <w:r w:rsidR="001F48AA" w:rsidRPr="00712B67">
              <w:rPr>
                <w:rFonts w:eastAsia="Times New Roman" w:cstheme="minorHAnsi"/>
                <w:lang w:eastAsia="en-GB"/>
              </w:rPr>
              <w:t>f the me</w:t>
            </w:r>
            <w:r w:rsidR="00712B67">
              <w:rPr>
                <w:rFonts w:eastAsia="Times New Roman" w:cstheme="minorHAnsi"/>
                <w:lang w:eastAsia="en-GB"/>
              </w:rPr>
              <w:t>eting</w:t>
            </w:r>
            <w:r w:rsidR="00024C32">
              <w:rPr>
                <w:rFonts w:eastAsia="Times New Roman" w:cstheme="minorHAnsi"/>
                <w:lang w:eastAsia="en-GB"/>
              </w:rPr>
              <w:t xml:space="preserve"> of Tuesday 26 November</w:t>
            </w:r>
            <w:r w:rsidR="00712B67">
              <w:rPr>
                <w:rFonts w:eastAsia="Times New Roman" w:cstheme="minorHAnsi"/>
                <w:lang w:eastAsia="en-GB"/>
              </w:rPr>
              <w:t xml:space="preserve"> 2019</w:t>
            </w:r>
            <w:r w:rsidR="001F48AA" w:rsidRPr="00712B67">
              <w:rPr>
                <w:rFonts w:eastAsia="Times New Roman" w:cstheme="minorHAnsi"/>
                <w:lang w:eastAsia="en-GB"/>
              </w:rPr>
              <w:t xml:space="preserve"> was accepted.</w:t>
            </w:r>
          </w:p>
        </w:tc>
        <w:tc>
          <w:tcPr>
            <w:tcW w:w="1560" w:type="dxa"/>
          </w:tcPr>
          <w:p w:rsidR="00206753" w:rsidRPr="0034604F" w:rsidRDefault="00331D34" w:rsidP="00331D34">
            <w:pPr>
              <w:rPr>
                <w:rFonts w:eastAsia="Times New Roman" w:cstheme="minorHAnsi"/>
                <w:b/>
                <w:lang w:eastAsia="en-GB"/>
              </w:rPr>
            </w:pPr>
            <w:r w:rsidRPr="0034604F">
              <w:rPr>
                <w:rFonts w:eastAsia="Times New Roman" w:cstheme="minorHAnsi"/>
                <w:b/>
                <w:lang w:eastAsia="en-GB"/>
              </w:rPr>
              <w:t>Noted</w:t>
            </w:r>
          </w:p>
        </w:tc>
      </w:tr>
      <w:tr w:rsidR="00206753" w:rsidRPr="00712B67" w:rsidTr="00F261C8">
        <w:trPr>
          <w:trHeight w:val="510"/>
        </w:trPr>
        <w:tc>
          <w:tcPr>
            <w:tcW w:w="749" w:type="dxa"/>
          </w:tcPr>
          <w:p w:rsidR="00206753" w:rsidRPr="00712B67" w:rsidRDefault="00206753" w:rsidP="00716D9E">
            <w:pPr>
              <w:spacing w:after="0" w:line="240" w:lineRule="auto"/>
              <w:rPr>
                <w:rFonts w:eastAsia="Times New Roman" w:cstheme="minorHAnsi"/>
                <w:b/>
                <w:lang w:eastAsia="en-GB"/>
              </w:rPr>
            </w:pPr>
            <w:r w:rsidRPr="00712B67">
              <w:rPr>
                <w:rFonts w:eastAsia="Times New Roman" w:cstheme="minorHAnsi"/>
                <w:b/>
                <w:lang w:eastAsia="en-GB"/>
              </w:rPr>
              <w:t>3.</w:t>
            </w:r>
          </w:p>
        </w:tc>
        <w:tc>
          <w:tcPr>
            <w:tcW w:w="7796" w:type="dxa"/>
          </w:tcPr>
          <w:p w:rsidR="00206753" w:rsidRPr="00712B67" w:rsidRDefault="00D36578" w:rsidP="001D7FF1">
            <w:pPr>
              <w:rPr>
                <w:rFonts w:eastAsia="Times New Roman" w:cstheme="minorHAnsi"/>
                <w:b/>
                <w:lang w:eastAsia="en-GB"/>
              </w:rPr>
            </w:pPr>
            <w:r w:rsidRPr="00712B67">
              <w:rPr>
                <w:rFonts w:cstheme="minorHAnsi"/>
                <w:b/>
              </w:rPr>
              <w:t>Springfield Dam Park Masterplan</w:t>
            </w:r>
          </w:p>
        </w:tc>
        <w:tc>
          <w:tcPr>
            <w:tcW w:w="1560" w:type="dxa"/>
          </w:tcPr>
          <w:p w:rsidR="00206753" w:rsidRPr="00712B67" w:rsidRDefault="00206753" w:rsidP="00716D9E">
            <w:pPr>
              <w:spacing w:after="0" w:line="240" w:lineRule="auto"/>
              <w:rPr>
                <w:rFonts w:eastAsia="Times New Roman" w:cstheme="minorHAnsi"/>
                <w:lang w:eastAsia="en-GB"/>
              </w:rPr>
            </w:pPr>
          </w:p>
        </w:tc>
      </w:tr>
      <w:tr w:rsidR="00206753" w:rsidRPr="00712B67" w:rsidTr="00F261C8">
        <w:trPr>
          <w:trHeight w:val="510"/>
        </w:trPr>
        <w:tc>
          <w:tcPr>
            <w:tcW w:w="749" w:type="dxa"/>
          </w:tcPr>
          <w:p w:rsidR="00206753" w:rsidRPr="00712B67" w:rsidRDefault="00206753" w:rsidP="00716D9E">
            <w:pPr>
              <w:spacing w:after="0" w:line="240" w:lineRule="auto"/>
              <w:rPr>
                <w:rFonts w:eastAsia="Times New Roman" w:cstheme="minorHAnsi"/>
                <w:lang w:eastAsia="en-GB"/>
              </w:rPr>
            </w:pPr>
          </w:p>
        </w:tc>
        <w:tc>
          <w:tcPr>
            <w:tcW w:w="7796" w:type="dxa"/>
          </w:tcPr>
          <w:p w:rsidR="00024C32" w:rsidRDefault="00EA4788" w:rsidP="00024C32">
            <w:pPr>
              <w:rPr>
                <w:rFonts w:eastAsia="Times New Roman" w:cstheme="minorHAnsi"/>
                <w:lang w:eastAsia="en-GB"/>
              </w:rPr>
            </w:pPr>
            <w:r>
              <w:rPr>
                <w:rFonts w:eastAsia="Times New Roman" w:cstheme="minorHAnsi"/>
                <w:lang w:eastAsia="en-GB"/>
              </w:rPr>
              <w:t xml:space="preserve">N Gowdy provided an update in relation the Springfield Dam </w:t>
            </w:r>
            <w:r w:rsidR="00024C32">
              <w:rPr>
                <w:rFonts w:eastAsia="Times New Roman" w:cstheme="minorHAnsi"/>
                <w:lang w:eastAsia="en-GB"/>
              </w:rPr>
              <w:t>works with a contracto</w:t>
            </w:r>
            <w:r w:rsidR="004B3E25">
              <w:rPr>
                <w:rFonts w:eastAsia="Times New Roman" w:cstheme="minorHAnsi"/>
                <w:lang w:eastAsia="en-GB"/>
              </w:rPr>
              <w:t>r being appointed with expected</w:t>
            </w:r>
            <w:r w:rsidR="00024C32">
              <w:rPr>
                <w:rFonts w:eastAsia="Times New Roman" w:cstheme="minorHAnsi"/>
                <w:lang w:eastAsia="en-GB"/>
              </w:rPr>
              <w:t xml:space="preserve"> site mobilisation 10 February 2020.  NG confirmed that all associated planning conditions had now been discharged.  He confirmed that the contractor was currently making arrangements for site security.  </w:t>
            </w:r>
          </w:p>
          <w:p w:rsidR="00024C32" w:rsidRDefault="00024C32" w:rsidP="00024C32">
            <w:pPr>
              <w:rPr>
                <w:rFonts w:eastAsia="Times New Roman" w:cstheme="minorHAnsi"/>
                <w:lang w:eastAsia="en-GB"/>
              </w:rPr>
            </w:pPr>
            <w:r>
              <w:rPr>
                <w:rFonts w:eastAsia="Times New Roman" w:cstheme="minorHAnsi"/>
                <w:lang w:eastAsia="en-GB"/>
              </w:rPr>
              <w:t>NG added that the contractor had agreed to attend local community meetings as necessary, advising that a meeting had been arranged with the West Belfast Partnership Board, PSNI and community representatives.</w:t>
            </w:r>
          </w:p>
          <w:p w:rsidR="00F0353C" w:rsidRPr="00712B67" w:rsidRDefault="004567A3" w:rsidP="001D7FF1">
            <w:pPr>
              <w:rPr>
                <w:rFonts w:eastAsia="Times New Roman" w:cstheme="minorHAnsi"/>
                <w:lang w:eastAsia="en-GB"/>
              </w:rPr>
            </w:pPr>
            <w:r>
              <w:rPr>
                <w:rFonts w:eastAsia="Times New Roman" w:cstheme="minorHAnsi"/>
                <w:lang w:eastAsia="en-GB"/>
              </w:rPr>
              <w:t>Discussion took place with regard to programming post completion and in relation to interim programming in advance of works completion.  It was noted that there was a need to encourage legitimate use of the site by offering various community activities and events.  Consideration needed to be given to the operation and management of the new modular building on site.</w:t>
            </w:r>
          </w:p>
        </w:tc>
        <w:tc>
          <w:tcPr>
            <w:tcW w:w="1560" w:type="dxa"/>
          </w:tcPr>
          <w:p w:rsidR="00E26244" w:rsidRDefault="00E26244" w:rsidP="00E47C63">
            <w:pPr>
              <w:rPr>
                <w:rFonts w:eastAsia="Times New Roman" w:cstheme="minorHAnsi"/>
                <w:b/>
                <w:lang w:eastAsia="en-GB"/>
              </w:rPr>
            </w:pPr>
          </w:p>
          <w:p w:rsidR="00024C32" w:rsidRDefault="004B3E25" w:rsidP="00E47C63">
            <w:pPr>
              <w:rPr>
                <w:rFonts w:eastAsia="Times New Roman" w:cstheme="minorHAnsi"/>
                <w:b/>
                <w:lang w:eastAsia="en-GB"/>
              </w:rPr>
            </w:pPr>
            <w:r>
              <w:rPr>
                <w:rFonts w:eastAsia="Times New Roman" w:cstheme="minorHAnsi"/>
                <w:b/>
                <w:lang w:eastAsia="en-GB"/>
              </w:rPr>
              <w:t>Noted</w:t>
            </w:r>
          </w:p>
          <w:p w:rsidR="00024C32" w:rsidRDefault="00024C32" w:rsidP="00E47C63">
            <w:pPr>
              <w:rPr>
                <w:rFonts w:eastAsia="Times New Roman" w:cstheme="minorHAnsi"/>
                <w:b/>
                <w:lang w:eastAsia="en-GB"/>
              </w:rPr>
            </w:pPr>
          </w:p>
          <w:p w:rsidR="00024C32" w:rsidRDefault="00024C32" w:rsidP="00E47C63">
            <w:pPr>
              <w:rPr>
                <w:rFonts w:eastAsia="Times New Roman" w:cstheme="minorHAnsi"/>
                <w:b/>
                <w:lang w:eastAsia="en-GB"/>
              </w:rPr>
            </w:pPr>
          </w:p>
          <w:p w:rsidR="00024C32" w:rsidRDefault="00024C32" w:rsidP="00E47C63">
            <w:pPr>
              <w:rPr>
                <w:rFonts w:eastAsia="Times New Roman" w:cstheme="minorHAnsi"/>
                <w:b/>
                <w:lang w:eastAsia="en-GB"/>
              </w:rPr>
            </w:pPr>
            <w:r>
              <w:rPr>
                <w:rFonts w:eastAsia="Times New Roman" w:cstheme="minorHAnsi"/>
                <w:b/>
                <w:lang w:eastAsia="en-GB"/>
              </w:rPr>
              <w:t xml:space="preserve">Noted </w:t>
            </w:r>
          </w:p>
          <w:p w:rsidR="004567A3" w:rsidRDefault="004567A3" w:rsidP="00E47C63">
            <w:pPr>
              <w:rPr>
                <w:rFonts w:eastAsia="Times New Roman" w:cstheme="minorHAnsi"/>
                <w:b/>
                <w:lang w:eastAsia="en-GB"/>
              </w:rPr>
            </w:pPr>
          </w:p>
          <w:p w:rsidR="004567A3" w:rsidRPr="00E26244" w:rsidRDefault="004567A3" w:rsidP="00E47C63">
            <w:pPr>
              <w:rPr>
                <w:rFonts w:eastAsia="Times New Roman" w:cstheme="minorHAnsi"/>
                <w:b/>
                <w:lang w:eastAsia="en-GB"/>
              </w:rPr>
            </w:pPr>
            <w:r>
              <w:rPr>
                <w:rFonts w:eastAsia="Times New Roman" w:cstheme="minorHAnsi"/>
                <w:b/>
                <w:lang w:eastAsia="en-GB"/>
              </w:rPr>
              <w:t>DMcK and A Allen</w:t>
            </w:r>
          </w:p>
        </w:tc>
      </w:tr>
      <w:tr w:rsidR="00F261C8" w:rsidRPr="00712B67" w:rsidTr="001C44FA">
        <w:trPr>
          <w:trHeight w:val="510"/>
        </w:trPr>
        <w:tc>
          <w:tcPr>
            <w:tcW w:w="749" w:type="dxa"/>
          </w:tcPr>
          <w:p w:rsidR="00504F8A" w:rsidRPr="00712B67" w:rsidRDefault="00206753" w:rsidP="00716D9E">
            <w:pPr>
              <w:spacing w:after="0" w:line="240" w:lineRule="auto"/>
              <w:rPr>
                <w:rFonts w:eastAsia="Times New Roman" w:cstheme="minorHAnsi"/>
                <w:b/>
                <w:lang w:eastAsia="en-GB"/>
              </w:rPr>
            </w:pPr>
            <w:r w:rsidRPr="00712B67">
              <w:rPr>
                <w:rFonts w:eastAsia="Times New Roman" w:cstheme="minorHAnsi"/>
                <w:b/>
                <w:lang w:eastAsia="en-GB"/>
              </w:rPr>
              <w:t>4.</w:t>
            </w:r>
          </w:p>
        </w:tc>
        <w:tc>
          <w:tcPr>
            <w:tcW w:w="7796" w:type="dxa"/>
            <w:tcBorders>
              <w:bottom w:val="single" w:sz="4" w:space="0" w:color="auto"/>
            </w:tcBorders>
          </w:tcPr>
          <w:p w:rsidR="00504F8A" w:rsidRPr="00712B67" w:rsidRDefault="00D36578" w:rsidP="001D7FF1">
            <w:pPr>
              <w:rPr>
                <w:rFonts w:eastAsia="Times New Roman" w:cstheme="minorHAnsi"/>
                <w:b/>
                <w:lang w:eastAsia="en-GB"/>
              </w:rPr>
            </w:pPr>
            <w:r w:rsidRPr="00712B67">
              <w:rPr>
                <w:rFonts w:eastAsia="Times New Roman" w:cstheme="minorHAnsi"/>
                <w:b/>
                <w:lang w:eastAsia="en-GB"/>
              </w:rPr>
              <w:t>PEACE IV Reconnecting Open Spaces</w:t>
            </w:r>
          </w:p>
        </w:tc>
        <w:tc>
          <w:tcPr>
            <w:tcW w:w="1560" w:type="dxa"/>
            <w:tcBorders>
              <w:bottom w:val="single" w:sz="4" w:space="0" w:color="auto"/>
            </w:tcBorders>
          </w:tcPr>
          <w:p w:rsidR="00C477B5" w:rsidRPr="00712B67" w:rsidRDefault="00C477B5" w:rsidP="00716D9E">
            <w:pPr>
              <w:spacing w:after="0" w:line="240" w:lineRule="auto"/>
              <w:rPr>
                <w:rFonts w:eastAsia="Times New Roman" w:cstheme="minorHAnsi"/>
                <w:lang w:eastAsia="en-GB"/>
              </w:rPr>
            </w:pPr>
          </w:p>
        </w:tc>
      </w:tr>
      <w:tr w:rsidR="00AF3910" w:rsidRPr="00712B67" w:rsidTr="001C44FA">
        <w:trPr>
          <w:trHeight w:val="510"/>
        </w:trPr>
        <w:tc>
          <w:tcPr>
            <w:tcW w:w="749" w:type="dxa"/>
          </w:tcPr>
          <w:p w:rsidR="00AF3910" w:rsidRPr="00712B67" w:rsidRDefault="00AF3910" w:rsidP="00716D9E">
            <w:pPr>
              <w:spacing w:after="0" w:line="240" w:lineRule="auto"/>
              <w:rPr>
                <w:rFonts w:eastAsia="Times New Roman" w:cstheme="minorHAnsi"/>
                <w:b/>
                <w:lang w:eastAsia="en-GB"/>
              </w:rPr>
            </w:pPr>
            <w:r>
              <w:rPr>
                <w:rFonts w:eastAsia="Times New Roman" w:cstheme="minorHAnsi"/>
                <w:b/>
                <w:lang w:eastAsia="en-GB"/>
              </w:rPr>
              <w:t>4a</w:t>
            </w:r>
          </w:p>
        </w:tc>
        <w:tc>
          <w:tcPr>
            <w:tcW w:w="7796" w:type="dxa"/>
            <w:tcBorders>
              <w:bottom w:val="single" w:sz="4" w:space="0" w:color="auto"/>
            </w:tcBorders>
          </w:tcPr>
          <w:p w:rsidR="00AF3910" w:rsidRPr="00712B67" w:rsidRDefault="00AF3910" w:rsidP="001D7FF1">
            <w:pPr>
              <w:rPr>
                <w:rFonts w:eastAsia="Times New Roman" w:cstheme="minorHAnsi"/>
                <w:b/>
                <w:lang w:eastAsia="en-GB"/>
              </w:rPr>
            </w:pPr>
            <w:r>
              <w:rPr>
                <w:rFonts w:eastAsia="Times New Roman" w:cstheme="minorHAnsi"/>
                <w:b/>
                <w:lang w:eastAsia="en-GB"/>
              </w:rPr>
              <w:t>Community and Wider Stakeholder Engagement</w:t>
            </w:r>
          </w:p>
        </w:tc>
        <w:tc>
          <w:tcPr>
            <w:tcW w:w="1560" w:type="dxa"/>
            <w:tcBorders>
              <w:bottom w:val="single" w:sz="4" w:space="0" w:color="auto"/>
            </w:tcBorders>
          </w:tcPr>
          <w:p w:rsidR="00AF3910" w:rsidRPr="00712B67" w:rsidRDefault="00AF3910" w:rsidP="00716D9E">
            <w:pPr>
              <w:spacing w:after="0" w:line="240" w:lineRule="auto"/>
              <w:rPr>
                <w:rFonts w:eastAsia="Times New Roman" w:cstheme="minorHAnsi"/>
                <w:lang w:eastAsia="en-GB"/>
              </w:rPr>
            </w:pPr>
          </w:p>
        </w:tc>
      </w:tr>
      <w:tr w:rsidR="00AF3910" w:rsidRPr="00712B67" w:rsidTr="001C44FA">
        <w:trPr>
          <w:trHeight w:val="510"/>
        </w:trPr>
        <w:tc>
          <w:tcPr>
            <w:tcW w:w="749" w:type="dxa"/>
          </w:tcPr>
          <w:p w:rsidR="00AF3910" w:rsidRPr="00712B67" w:rsidRDefault="00AF3910" w:rsidP="00716D9E">
            <w:pPr>
              <w:spacing w:after="0" w:line="240" w:lineRule="auto"/>
              <w:rPr>
                <w:rFonts w:eastAsia="Times New Roman" w:cstheme="minorHAnsi"/>
                <w:b/>
                <w:lang w:eastAsia="en-GB"/>
              </w:rPr>
            </w:pPr>
          </w:p>
        </w:tc>
        <w:tc>
          <w:tcPr>
            <w:tcW w:w="7796" w:type="dxa"/>
            <w:tcBorders>
              <w:bottom w:val="single" w:sz="4" w:space="0" w:color="auto"/>
            </w:tcBorders>
          </w:tcPr>
          <w:p w:rsidR="00AF3910" w:rsidRDefault="00AF3910" w:rsidP="001D7FF1">
            <w:pPr>
              <w:rPr>
                <w:rFonts w:eastAsia="Times New Roman" w:cstheme="minorHAnsi"/>
                <w:lang w:eastAsia="en-GB"/>
              </w:rPr>
            </w:pPr>
            <w:r>
              <w:rPr>
                <w:rFonts w:eastAsia="Times New Roman" w:cstheme="minorHAnsi"/>
                <w:lang w:eastAsia="en-GB"/>
              </w:rPr>
              <w:t xml:space="preserve">KM provided an update on the community and wider stakeholder engagement in respect of the Reconnecting Open Spaces Project.  </w:t>
            </w:r>
          </w:p>
          <w:p w:rsidR="00AF3910" w:rsidRDefault="00AF3910" w:rsidP="001D7FF1">
            <w:pPr>
              <w:rPr>
                <w:rFonts w:eastAsia="Times New Roman" w:cstheme="minorHAnsi"/>
                <w:lang w:eastAsia="en-GB"/>
              </w:rPr>
            </w:pPr>
            <w:r>
              <w:rPr>
                <w:rFonts w:eastAsia="Times New Roman" w:cstheme="minorHAnsi"/>
                <w:lang w:eastAsia="en-GB"/>
              </w:rPr>
              <w:t>Official Launch – it was suggested that the project be formally launched in May 2020 with a sod cutting event in Glencairn Park with local schools involvement.  Funding for the event to be sourced from the Local Action Plan Programming Budget.</w:t>
            </w:r>
          </w:p>
          <w:p w:rsidR="00AF3910" w:rsidRDefault="00AF3910" w:rsidP="001D7FF1">
            <w:pPr>
              <w:rPr>
                <w:rFonts w:eastAsia="Times New Roman" w:cstheme="minorHAnsi"/>
                <w:lang w:eastAsia="en-GB"/>
              </w:rPr>
            </w:pPr>
            <w:r>
              <w:rPr>
                <w:rFonts w:eastAsia="Times New Roman" w:cstheme="minorHAnsi"/>
                <w:lang w:eastAsia="en-GB"/>
              </w:rPr>
              <w:t>Correspondence from Participation and Practice of Rights – copy response from the</w:t>
            </w:r>
            <w:r w:rsidR="001B3A15">
              <w:rPr>
                <w:rFonts w:eastAsia="Times New Roman" w:cstheme="minorHAnsi"/>
                <w:lang w:eastAsia="en-GB"/>
              </w:rPr>
              <w:t xml:space="preserve"> Director of Legal Services </w:t>
            </w:r>
            <w:r>
              <w:rPr>
                <w:rFonts w:eastAsia="Times New Roman" w:cstheme="minorHAnsi"/>
                <w:lang w:eastAsia="en-GB"/>
              </w:rPr>
              <w:t>circulated for information.  It was noted that the Project Sponsor would follow up with Council’s Equality Officer to put in place retrospective equality screening given that no equality screening had been undertaken to date.</w:t>
            </w:r>
          </w:p>
          <w:p w:rsidR="00AF3910" w:rsidRDefault="00AF3910" w:rsidP="001D7FF1">
            <w:pPr>
              <w:rPr>
                <w:rFonts w:eastAsia="Times New Roman" w:cstheme="minorHAnsi"/>
                <w:lang w:eastAsia="en-GB"/>
              </w:rPr>
            </w:pPr>
            <w:r>
              <w:rPr>
                <w:rFonts w:eastAsia="Times New Roman" w:cstheme="minorHAnsi"/>
                <w:lang w:eastAsia="en-GB"/>
              </w:rPr>
              <w:t>Branding – KM advised that she and the Good Relations Officer had arranged meetings with various community representatives to seek views on the updated proposals in advance of Shared City Partnership’s meeting on 10 February 2020.</w:t>
            </w:r>
          </w:p>
          <w:p w:rsidR="00AF3910" w:rsidRDefault="00AF3910" w:rsidP="001D7FF1">
            <w:pPr>
              <w:rPr>
                <w:rFonts w:eastAsia="Times New Roman" w:cstheme="minorHAnsi"/>
                <w:lang w:eastAsia="en-GB"/>
              </w:rPr>
            </w:pPr>
            <w:r>
              <w:rPr>
                <w:rFonts w:eastAsia="Times New Roman" w:cstheme="minorHAnsi"/>
                <w:lang w:eastAsia="en-GB"/>
              </w:rPr>
              <w:t>Springfield Dam – KM advised that following a request from Councillor Canavan work was under way to arrange a sod cutting event at Springfield Dam week commencing</w:t>
            </w:r>
            <w:r w:rsidR="00755F65">
              <w:rPr>
                <w:rFonts w:eastAsia="Times New Roman" w:cstheme="minorHAnsi"/>
                <w:lang w:eastAsia="en-GB"/>
              </w:rPr>
              <w:t xml:space="preserve"> 17 February 2020.  Lord Mayor’s diary was being checked for availability and KM advised she would circulate the date to all relevant staff.</w:t>
            </w:r>
          </w:p>
          <w:p w:rsidR="00AF3910" w:rsidRPr="00AF3910" w:rsidRDefault="00AF3910" w:rsidP="001D7FF1">
            <w:pPr>
              <w:rPr>
                <w:rFonts w:eastAsia="Times New Roman" w:cstheme="minorHAnsi"/>
                <w:lang w:eastAsia="en-GB"/>
              </w:rPr>
            </w:pPr>
          </w:p>
        </w:tc>
        <w:tc>
          <w:tcPr>
            <w:tcW w:w="1560" w:type="dxa"/>
            <w:tcBorders>
              <w:bottom w:val="single" w:sz="4" w:space="0" w:color="auto"/>
            </w:tcBorders>
          </w:tcPr>
          <w:p w:rsidR="00AF3910" w:rsidRDefault="00AF3910" w:rsidP="00716D9E">
            <w:pPr>
              <w:spacing w:after="0" w:line="240" w:lineRule="auto"/>
              <w:rPr>
                <w:rFonts w:eastAsia="Times New Roman" w:cstheme="minorHAnsi"/>
                <w:lang w:eastAsia="en-GB"/>
              </w:rPr>
            </w:pPr>
          </w:p>
          <w:p w:rsidR="00755F65" w:rsidRDefault="00755F65" w:rsidP="00716D9E">
            <w:pPr>
              <w:spacing w:after="0" w:line="240" w:lineRule="auto"/>
              <w:rPr>
                <w:rFonts w:eastAsia="Times New Roman" w:cstheme="minorHAnsi"/>
                <w:lang w:eastAsia="en-GB"/>
              </w:rPr>
            </w:pPr>
          </w:p>
          <w:p w:rsidR="00755F65" w:rsidRDefault="00755F65" w:rsidP="00716D9E">
            <w:pPr>
              <w:spacing w:after="0" w:line="240" w:lineRule="auto"/>
              <w:rPr>
                <w:rFonts w:eastAsia="Times New Roman" w:cstheme="minorHAnsi"/>
                <w:lang w:eastAsia="en-GB"/>
              </w:rPr>
            </w:pPr>
          </w:p>
          <w:p w:rsidR="00755F65" w:rsidRDefault="00755F65" w:rsidP="00716D9E">
            <w:pPr>
              <w:spacing w:after="0" w:line="240" w:lineRule="auto"/>
              <w:rPr>
                <w:rFonts w:eastAsia="Times New Roman" w:cstheme="minorHAnsi"/>
                <w:lang w:eastAsia="en-GB"/>
              </w:rPr>
            </w:pPr>
          </w:p>
          <w:p w:rsidR="00755F65" w:rsidRDefault="00755F65" w:rsidP="00716D9E">
            <w:pPr>
              <w:spacing w:after="0" w:line="240" w:lineRule="auto"/>
              <w:rPr>
                <w:rFonts w:eastAsia="Times New Roman" w:cstheme="minorHAnsi"/>
                <w:b/>
                <w:lang w:eastAsia="en-GB"/>
              </w:rPr>
            </w:pPr>
            <w:r>
              <w:rPr>
                <w:rFonts w:eastAsia="Times New Roman" w:cstheme="minorHAnsi"/>
                <w:b/>
                <w:lang w:eastAsia="en-GB"/>
              </w:rPr>
              <w:t>Noted</w:t>
            </w:r>
          </w:p>
          <w:p w:rsidR="00755F65" w:rsidRDefault="00755F65" w:rsidP="00716D9E">
            <w:pPr>
              <w:spacing w:after="0" w:line="240" w:lineRule="auto"/>
              <w:rPr>
                <w:rFonts w:eastAsia="Times New Roman" w:cstheme="minorHAnsi"/>
                <w:b/>
                <w:lang w:eastAsia="en-GB"/>
              </w:rPr>
            </w:pPr>
          </w:p>
          <w:p w:rsidR="00755F65" w:rsidRDefault="00755F65" w:rsidP="00716D9E">
            <w:pPr>
              <w:spacing w:after="0" w:line="240" w:lineRule="auto"/>
              <w:rPr>
                <w:rFonts w:eastAsia="Times New Roman" w:cstheme="minorHAnsi"/>
                <w:b/>
                <w:lang w:eastAsia="en-GB"/>
              </w:rPr>
            </w:pPr>
          </w:p>
          <w:p w:rsidR="00755F65" w:rsidRDefault="00755F65" w:rsidP="00716D9E">
            <w:pPr>
              <w:spacing w:after="0" w:line="240" w:lineRule="auto"/>
              <w:rPr>
                <w:rFonts w:eastAsia="Times New Roman" w:cstheme="minorHAnsi"/>
                <w:b/>
                <w:lang w:eastAsia="en-GB"/>
              </w:rPr>
            </w:pPr>
          </w:p>
          <w:p w:rsidR="00755F65" w:rsidRDefault="00755F65" w:rsidP="00716D9E">
            <w:pPr>
              <w:spacing w:after="0" w:line="240" w:lineRule="auto"/>
              <w:rPr>
                <w:rFonts w:eastAsia="Times New Roman" w:cstheme="minorHAnsi"/>
                <w:b/>
                <w:lang w:eastAsia="en-GB"/>
              </w:rPr>
            </w:pPr>
          </w:p>
          <w:p w:rsidR="00755F65" w:rsidRDefault="00755F65" w:rsidP="00716D9E">
            <w:pPr>
              <w:spacing w:after="0" w:line="240" w:lineRule="auto"/>
              <w:rPr>
                <w:rFonts w:eastAsia="Times New Roman" w:cstheme="minorHAnsi"/>
                <w:b/>
                <w:lang w:eastAsia="en-GB"/>
              </w:rPr>
            </w:pPr>
            <w:r>
              <w:rPr>
                <w:rFonts w:eastAsia="Times New Roman" w:cstheme="minorHAnsi"/>
                <w:b/>
                <w:lang w:eastAsia="en-GB"/>
              </w:rPr>
              <w:t>Noted</w:t>
            </w:r>
          </w:p>
          <w:p w:rsidR="00755F65" w:rsidRDefault="00755F65" w:rsidP="00716D9E">
            <w:pPr>
              <w:spacing w:after="0" w:line="240" w:lineRule="auto"/>
              <w:rPr>
                <w:rFonts w:eastAsia="Times New Roman" w:cstheme="minorHAnsi"/>
                <w:b/>
                <w:lang w:eastAsia="en-GB"/>
              </w:rPr>
            </w:pPr>
          </w:p>
          <w:p w:rsidR="00755F65" w:rsidRDefault="00755F65" w:rsidP="00716D9E">
            <w:pPr>
              <w:spacing w:after="0" w:line="240" w:lineRule="auto"/>
              <w:rPr>
                <w:rFonts w:eastAsia="Times New Roman" w:cstheme="minorHAnsi"/>
                <w:b/>
                <w:lang w:eastAsia="en-GB"/>
              </w:rPr>
            </w:pPr>
          </w:p>
          <w:p w:rsidR="00755F65" w:rsidRDefault="00755F65" w:rsidP="00716D9E">
            <w:pPr>
              <w:spacing w:after="0" w:line="240" w:lineRule="auto"/>
              <w:rPr>
                <w:rFonts w:eastAsia="Times New Roman" w:cstheme="minorHAnsi"/>
                <w:b/>
                <w:lang w:eastAsia="en-GB"/>
              </w:rPr>
            </w:pPr>
          </w:p>
          <w:p w:rsidR="00755F65" w:rsidRDefault="00755F65" w:rsidP="00716D9E">
            <w:pPr>
              <w:spacing w:after="0" w:line="240" w:lineRule="auto"/>
              <w:rPr>
                <w:rFonts w:eastAsia="Times New Roman" w:cstheme="minorHAnsi"/>
                <w:b/>
                <w:lang w:eastAsia="en-GB"/>
              </w:rPr>
            </w:pPr>
            <w:r>
              <w:rPr>
                <w:rFonts w:eastAsia="Times New Roman" w:cstheme="minorHAnsi"/>
                <w:b/>
                <w:lang w:eastAsia="en-GB"/>
              </w:rPr>
              <w:t>Noted</w:t>
            </w:r>
          </w:p>
          <w:p w:rsidR="00755F65" w:rsidRDefault="00755F65" w:rsidP="00716D9E">
            <w:pPr>
              <w:spacing w:after="0" w:line="240" w:lineRule="auto"/>
              <w:rPr>
                <w:rFonts w:eastAsia="Times New Roman" w:cstheme="minorHAnsi"/>
                <w:b/>
                <w:lang w:eastAsia="en-GB"/>
              </w:rPr>
            </w:pPr>
          </w:p>
          <w:p w:rsidR="00755F65" w:rsidRDefault="00755F65" w:rsidP="00716D9E">
            <w:pPr>
              <w:spacing w:after="0" w:line="240" w:lineRule="auto"/>
              <w:rPr>
                <w:rFonts w:eastAsia="Times New Roman" w:cstheme="minorHAnsi"/>
                <w:b/>
                <w:lang w:eastAsia="en-GB"/>
              </w:rPr>
            </w:pPr>
          </w:p>
          <w:p w:rsidR="00755F65" w:rsidRDefault="00755F65" w:rsidP="00716D9E">
            <w:pPr>
              <w:spacing w:after="0" w:line="240" w:lineRule="auto"/>
              <w:rPr>
                <w:rFonts w:eastAsia="Times New Roman" w:cstheme="minorHAnsi"/>
                <w:b/>
                <w:lang w:eastAsia="en-GB"/>
              </w:rPr>
            </w:pPr>
          </w:p>
          <w:p w:rsidR="00755F65" w:rsidRDefault="00755F65" w:rsidP="00716D9E">
            <w:pPr>
              <w:spacing w:after="0" w:line="240" w:lineRule="auto"/>
              <w:rPr>
                <w:rFonts w:eastAsia="Times New Roman" w:cstheme="minorHAnsi"/>
                <w:b/>
                <w:lang w:eastAsia="en-GB"/>
              </w:rPr>
            </w:pPr>
          </w:p>
          <w:p w:rsidR="00755F65" w:rsidRDefault="00755F65" w:rsidP="00716D9E">
            <w:pPr>
              <w:spacing w:after="0" w:line="240" w:lineRule="auto"/>
              <w:rPr>
                <w:rFonts w:eastAsia="Times New Roman" w:cstheme="minorHAnsi"/>
                <w:b/>
                <w:lang w:eastAsia="en-GB"/>
              </w:rPr>
            </w:pPr>
            <w:r>
              <w:rPr>
                <w:rFonts w:eastAsia="Times New Roman" w:cstheme="minorHAnsi"/>
                <w:b/>
                <w:lang w:eastAsia="en-GB"/>
              </w:rPr>
              <w:t xml:space="preserve">Noted </w:t>
            </w:r>
          </w:p>
          <w:p w:rsidR="00755F65" w:rsidRDefault="00755F65" w:rsidP="00716D9E">
            <w:pPr>
              <w:spacing w:after="0" w:line="240" w:lineRule="auto"/>
              <w:rPr>
                <w:rFonts w:eastAsia="Times New Roman" w:cstheme="minorHAnsi"/>
                <w:b/>
                <w:lang w:eastAsia="en-GB"/>
              </w:rPr>
            </w:pPr>
          </w:p>
          <w:p w:rsidR="00755F65" w:rsidRPr="00755F65" w:rsidRDefault="00755F65" w:rsidP="00716D9E">
            <w:pPr>
              <w:spacing w:after="0" w:line="240" w:lineRule="auto"/>
              <w:rPr>
                <w:rFonts w:eastAsia="Times New Roman" w:cstheme="minorHAnsi"/>
                <w:b/>
                <w:lang w:eastAsia="en-GB"/>
              </w:rPr>
            </w:pPr>
          </w:p>
        </w:tc>
      </w:tr>
      <w:tr w:rsidR="00AF3910" w:rsidRPr="00712B67" w:rsidTr="001C44FA">
        <w:trPr>
          <w:trHeight w:val="510"/>
        </w:trPr>
        <w:tc>
          <w:tcPr>
            <w:tcW w:w="749" w:type="dxa"/>
          </w:tcPr>
          <w:p w:rsidR="00AF3910" w:rsidRPr="00712B67" w:rsidRDefault="00755F65" w:rsidP="00716D9E">
            <w:pPr>
              <w:spacing w:after="0" w:line="240" w:lineRule="auto"/>
              <w:rPr>
                <w:rFonts w:eastAsia="Times New Roman" w:cstheme="minorHAnsi"/>
                <w:b/>
                <w:lang w:eastAsia="en-GB"/>
              </w:rPr>
            </w:pPr>
            <w:r>
              <w:rPr>
                <w:rFonts w:eastAsia="Times New Roman" w:cstheme="minorHAnsi"/>
                <w:b/>
                <w:lang w:eastAsia="en-GB"/>
              </w:rPr>
              <w:t>4b</w:t>
            </w:r>
          </w:p>
        </w:tc>
        <w:tc>
          <w:tcPr>
            <w:tcW w:w="7796" w:type="dxa"/>
            <w:tcBorders>
              <w:bottom w:val="single" w:sz="4" w:space="0" w:color="auto"/>
            </w:tcBorders>
          </w:tcPr>
          <w:p w:rsidR="00AF3910" w:rsidRPr="00712B67" w:rsidRDefault="00755F65" w:rsidP="001D7FF1">
            <w:pPr>
              <w:rPr>
                <w:rFonts w:eastAsia="Times New Roman" w:cstheme="minorHAnsi"/>
                <w:b/>
                <w:lang w:eastAsia="en-GB"/>
              </w:rPr>
            </w:pPr>
            <w:r>
              <w:rPr>
                <w:rFonts w:eastAsia="Times New Roman" w:cstheme="minorHAnsi"/>
                <w:b/>
                <w:lang w:eastAsia="en-GB"/>
              </w:rPr>
              <w:t>Progress Report</w:t>
            </w:r>
          </w:p>
        </w:tc>
        <w:tc>
          <w:tcPr>
            <w:tcW w:w="1560" w:type="dxa"/>
            <w:tcBorders>
              <w:bottom w:val="single" w:sz="4" w:space="0" w:color="auto"/>
            </w:tcBorders>
          </w:tcPr>
          <w:p w:rsidR="00AF3910" w:rsidRPr="00712B67" w:rsidRDefault="00AF3910" w:rsidP="00716D9E">
            <w:pPr>
              <w:spacing w:after="0" w:line="240" w:lineRule="auto"/>
              <w:rPr>
                <w:rFonts w:eastAsia="Times New Roman" w:cstheme="minorHAnsi"/>
                <w:lang w:eastAsia="en-GB"/>
              </w:rPr>
            </w:pPr>
          </w:p>
        </w:tc>
      </w:tr>
      <w:tr w:rsidR="00F261C8" w:rsidRPr="00712B67" w:rsidTr="00F261C8">
        <w:trPr>
          <w:trHeight w:val="510"/>
        </w:trPr>
        <w:tc>
          <w:tcPr>
            <w:tcW w:w="749" w:type="dxa"/>
          </w:tcPr>
          <w:p w:rsidR="00504F8A" w:rsidRPr="00712B67" w:rsidRDefault="00504F8A" w:rsidP="00716D9E">
            <w:pPr>
              <w:spacing w:after="0" w:line="240" w:lineRule="auto"/>
              <w:rPr>
                <w:rFonts w:eastAsia="Times New Roman" w:cstheme="minorHAnsi"/>
                <w:lang w:eastAsia="en-GB"/>
              </w:rPr>
            </w:pPr>
          </w:p>
        </w:tc>
        <w:tc>
          <w:tcPr>
            <w:tcW w:w="7796" w:type="dxa"/>
          </w:tcPr>
          <w:p w:rsidR="001D7FF1" w:rsidRDefault="001D7FF1" w:rsidP="001D7FF1">
            <w:pPr>
              <w:rPr>
                <w:rFonts w:cstheme="minorHAnsi"/>
                <w:bCs/>
              </w:rPr>
            </w:pPr>
            <w:r>
              <w:rPr>
                <w:rFonts w:cstheme="minorHAnsi"/>
                <w:bCs/>
              </w:rPr>
              <w:t xml:space="preserve">GK provided an overview on the current status of each Section of the Reconnecting Open Spaces Project.  </w:t>
            </w:r>
          </w:p>
          <w:p w:rsidR="004567A3" w:rsidRDefault="001D7FF1" w:rsidP="004567A3">
            <w:pPr>
              <w:rPr>
                <w:rFonts w:cstheme="minorHAnsi"/>
                <w:bCs/>
              </w:rPr>
            </w:pPr>
            <w:r>
              <w:rPr>
                <w:rFonts w:cstheme="minorHAnsi"/>
                <w:bCs/>
              </w:rPr>
              <w:t xml:space="preserve">He advised </w:t>
            </w:r>
            <w:r w:rsidR="004567A3">
              <w:rPr>
                <w:rFonts w:cstheme="minorHAnsi"/>
                <w:bCs/>
              </w:rPr>
              <w:t xml:space="preserve">that a meeting had been arranged with DfI Cycling Unit for 18 February to discussion potential capital funding contribution.  </w:t>
            </w:r>
          </w:p>
          <w:p w:rsidR="004567A3" w:rsidRDefault="004567A3" w:rsidP="004567A3">
            <w:pPr>
              <w:rPr>
                <w:rFonts w:cstheme="minorHAnsi"/>
                <w:bCs/>
              </w:rPr>
            </w:pPr>
            <w:r>
              <w:rPr>
                <w:rFonts w:cstheme="minorHAnsi"/>
                <w:bCs/>
              </w:rPr>
              <w:t>GK provided an update on the issue of the ITT documentation.  He stated that the documentation required approval by CPD and SEUPB.  He requested authority to issue the ITT documentation following those approvals and highlighted the current position that the Pre-Tender Estimate figure was approximately £1million over the available funding.</w:t>
            </w:r>
          </w:p>
          <w:p w:rsidR="004567A3" w:rsidRDefault="004567A3" w:rsidP="004567A3">
            <w:pPr>
              <w:rPr>
                <w:rFonts w:cstheme="minorHAnsi"/>
                <w:bCs/>
              </w:rPr>
            </w:pPr>
            <w:r>
              <w:rPr>
                <w:rFonts w:cstheme="minorHAnsi"/>
                <w:bCs/>
              </w:rPr>
              <w:t xml:space="preserve">With regard to project development concept designs have now been produced by the Design Team for Lanark Way and Cupar Way linkage.  This has been designated as Section 6 </w:t>
            </w:r>
            <w:r w:rsidR="00AD0115">
              <w:rPr>
                <w:rFonts w:cstheme="minorHAnsi"/>
                <w:bCs/>
              </w:rPr>
              <w:t xml:space="preserve">with a provisional cost estimate of £179,730.  NG referred to joint workshop that he had organised with relevant statutory partners to take place on 4 February 2020.  He requested that the Project Sponsor and Assistant Project Manager attend.  NG commented there would be an opportunity to raise potential collaborative funding.  </w:t>
            </w:r>
          </w:p>
          <w:p w:rsidR="00AD0115" w:rsidRDefault="00AD0115" w:rsidP="004567A3">
            <w:pPr>
              <w:rPr>
                <w:rFonts w:cstheme="minorHAnsi"/>
                <w:bCs/>
              </w:rPr>
            </w:pPr>
            <w:r>
              <w:rPr>
                <w:rFonts w:cstheme="minorHAnsi"/>
                <w:bCs/>
              </w:rPr>
              <w:t>GK advised that the PAN process for Section 2 and Section 4 had now completed both of which required major planning applications.  In addition</w:t>
            </w:r>
            <w:r w:rsidR="001B3A15">
              <w:rPr>
                <w:rFonts w:cstheme="minorHAnsi"/>
                <w:bCs/>
              </w:rPr>
              <w:t>,</w:t>
            </w:r>
            <w:r>
              <w:rPr>
                <w:rFonts w:cstheme="minorHAnsi"/>
                <w:bCs/>
              </w:rPr>
              <w:t xml:space="preserve"> a Planning application had been submitted on 6 December 2019 for the works to the Woodvale Avenue gates.  Following discussion</w:t>
            </w:r>
            <w:r w:rsidR="001B3A15">
              <w:rPr>
                <w:rFonts w:cstheme="minorHAnsi"/>
                <w:bCs/>
              </w:rPr>
              <w:t>,</w:t>
            </w:r>
            <w:r>
              <w:rPr>
                <w:rFonts w:cstheme="minorHAnsi"/>
                <w:bCs/>
              </w:rPr>
              <w:t xml:space="preserve"> it was agreed that INI manage the associated procurement and works to the gates at Woodvale Avenue, to be let as one package of works to include the gates at the Innovation Factory.  Belfast City Council would reimburse INI for those costs.  </w:t>
            </w:r>
          </w:p>
          <w:p w:rsidR="00C477B5" w:rsidRDefault="00AD0115" w:rsidP="004567A3">
            <w:pPr>
              <w:rPr>
                <w:rFonts w:cstheme="minorHAnsi"/>
                <w:bCs/>
              </w:rPr>
            </w:pPr>
            <w:r>
              <w:rPr>
                <w:rFonts w:cstheme="minorHAnsi"/>
                <w:bCs/>
              </w:rPr>
              <w:lastRenderedPageBreak/>
              <w:t xml:space="preserve">Bog Meadows GK advised that there was a need to agree a position on the management, maintenance and liability with Ulster Wildlife Trust in advance of any planning application being submitted for Section 2.  </w:t>
            </w:r>
          </w:p>
          <w:p w:rsidR="009938D3" w:rsidRDefault="00C477B5" w:rsidP="001D7FF1">
            <w:pPr>
              <w:rPr>
                <w:rFonts w:cstheme="minorHAnsi"/>
                <w:bCs/>
              </w:rPr>
            </w:pPr>
            <w:r>
              <w:rPr>
                <w:rFonts w:cstheme="minorHAnsi"/>
                <w:bCs/>
              </w:rPr>
              <w:t>Invasive Species and Slope Stabilisation – the Board noted the costs associated with the removal and treatment options for Japanese knotweed on Section 2.  In addition</w:t>
            </w:r>
            <w:r w:rsidR="001B3A15">
              <w:rPr>
                <w:rFonts w:cstheme="minorHAnsi"/>
                <w:bCs/>
              </w:rPr>
              <w:t>,</w:t>
            </w:r>
            <w:r>
              <w:rPr>
                <w:rFonts w:cstheme="minorHAnsi"/>
                <w:bCs/>
              </w:rPr>
              <w:t xml:space="preserve"> the costs associated with slope stabilisation also in Section 2.  MMcG advised that SEUPB were currently looking at slippage across the Peace IV programme however, he confirmed that he was not in a positon to provide an update.  NG agreed to pick up at </w:t>
            </w:r>
            <w:r w:rsidR="006958A4">
              <w:rPr>
                <w:rFonts w:cstheme="minorHAnsi"/>
                <w:bCs/>
              </w:rPr>
              <w:t>meetings, which</w:t>
            </w:r>
            <w:r>
              <w:rPr>
                <w:rFonts w:cstheme="minorHAnsi"/>
                <w:bCs/>
              </w:rPr>
              <w:t xml:space="preserve"> had been scheduled with the SEUPB Senior Team to discuss opportunities for additional capital funding.  With regard to funding from Living with Water </w:t>
            </w:r>
            <w:r w:rsidR="006958A4">
              <w:rPr>
                <w:rFonts w:cstheme="minorHAnsi"/>
                <w:bCs/>
              </w:rPr>
              <w:t>Programme,</w:t>
            </w:r>
            <w:r>
              <w:rPr>
                <w:rFonts w:cstheme="minorHAnsi"/>
                <w:bCs/>
              </w:rPr>
              <w:t xml:space="preserve"> it was noted that the current timelines were not linking up with the Reconnecting Open Spaces Programme. </w:t>
            </w:r>
          </w:p>
          <w:p w:rsidR="003E18E3" w:rsidRPr="00712B67" w:rsidRDefault="003E18E3" w:rsidP="001D7FF1">
            <w:pPr>
              <w:rPr>
                <w:rFonts w:cstheme="minorHAnsi"/>
                <w:bCs/>
              </w:rPr>
            </w:pPr>
          </w:p>
        </w:tc>
        <w:tc>
          <w:tcPr>
            <w:tcW w:w="1560" w:type="dxa"/>
          </w:tcPr>
          <w:p w:rsidR="00E26244" w:rsidRDefault="00E26244" w:rsidP="00712B67">
            <w:pPr>
              <w:rPr>
                <w:rFonts w:eastAsia="Times New Roman" w:cstheme="minorHAnsi"/>
                <w:b/>
                <w:lang w:eastAsia="en-GB"/>
              </w:rPr>
            </w:pP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r>
              <w:rPr>
                <w:rFonts w:eastAsia="Times New Roman" w:cstheme="minorHAnsi"/>
                <w:b/>
                <w:lang w:eastAsia="en-GB"/>
              </w:rPr>
              <w:t>Noted</w:t>
            </w: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r>
              <w:rPr>
                <w:rFonts w:eastAsia="Times New Roman" w:cstheme="minorHAnsi"/>
                <w:b/>
                <w:lang w:eastAsia="en-GB"/>
              </w:rPr>
              <w:t>Approved</w:t>
            </w: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r>
              <w:rPr>
                <w:rFonts w:eastAsia="Times New Roman" w:cstheme="minorHAnsi"/>
                <w:b/>
                <w:lang w:eastAsia="en-GB"/>
              </w:rPr>
              <w:t>NG/GK/KM</w:t>
            </w: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r>
              <w:rPr>
                <w:rFonts w:eastAsia="Times New Roman" w:cstheme="minorHAnsi"/>
                <w:b/>
                <w:lang w:eastAsia="en-GB"/>
              </w:rPr>
              <w:t>Approved</w:t>
            </w: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r>
              <w:rPr>
                <w:rFonts w:eastAsia="Times New Roman" w:cstheme="minorHAnsi"/>
                <w:b/>
                <w:lang w:eastAsia="en-GB"/>
              </w:rPr>
              <w:lastRenderedPageBreak/>
              <w:t>RB/CD</w:t>
            </w: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p>
          <w:p w:rsidR="00C477B5" w:rsidRDefault="00C477B5" w:rsidP="00712B67">
            <w:pPr>
              <w:rPr>
                <w:rFonts w:eastAsia="Times New Roman" w:cstheme="minorHAnsi"/>
                <w:b/>
                <w:lang w:eastAsia="en-GB"/>
              </w:rPr>
            </w:pPr>
            <w:r>
              <w:rPr>
                <w:rFonts w:eastAsia="Times New Roman" w:cstheme="minorHAnsi"/>
                <w:b/>
                <w:lang w:eastAsia="en-GB"/>
              </w:rPr>
              <w:t>NG/SG</w:t>
            </w:r>
          </w:p>
          <w:p w:rsidR="00C477B5" w:rsidRDefault="00C477B5" w:rsidP="00712B67">
            <w:pPr>
              <w:rPr>
                <w:rFonts w:eastAsia="Times New Roman" w:cstheme="minorHAnsi"/>
                <w:b/>
                <w:lang w:eastAsia="en-GB"/>
              </w:rPr>
            </w:pPr>
          </w:p>
          <w:p w:rsidR="00C477B5" w:rsidRPr="00E26244" w:rsidRDefault="00C477B5" w:rsidP="00712B67">
            <w:pPr>
              <w:rPr>
                <w:rFonts w:eastAsia="Times New Roman" w:cstheme="minorHAnsi"/>
                <w:b/>
                <w:lang w:eastAsia="en-GB"/>
              </w:rPr>
            </w:pPr>
          </w:p>
        </w:tc>
      </w:tr>
      <w:tr w:rsidR="00755F65" w:rsidRPr="00712B67" w:rsidTr="00F261C8">
        <w:trPr>
          <w:trHeight w:val="416"/>
        </w:trPr>
        <w:tc>
          <w:tcPr>
            <w:tcW w:w="749" w:type="dxa"/>
          </w:tcPr>
          <w:p w:rsidR="00755F65" w:rsidRPr="00712B67" w:rsidRDefault="00755F65" w:rsidP="00AF0510">
            <w:pPr>
              <w:spacing w:after="0" w:line="240" w:lineRule="auto"/>
              <w:rPr>
                <w:rFonts w:eastAsia="Times New Roman" w:cstheme="minorHAnsi"/>
                <w:b/>
                <w:lang w:eastAsia="en-GB"/>
              </w:rPr>
            </w:pPr>
            <w:r>
              <w:rPr>
                <w:rFonts w:eastAsia="Times New Roman" w:cstheme="minorHAnsi"/>
                <w:b/>
                <w:lang w:eastAsia="en-GB"/>
              </w:rPr>
              <w:lastRenderedPageBreak/>
              <w:t>4c</w:t>
            </w:r>
          </w:p>
        </w:tc>
        <w:tc>
          <w:tcPr>
            <w:tcW w:w="7796" w:type="dxa"/>
          </w:tcPr>
          <w:p w:rsidR="00755F65" w:rsidRPr="00712B67" w:rsidRDefault="00755F65" w:rsidP="001D7FF1">
            <w:pPr>
              <w:spacing w:after="0" w:line="240" w:lineRule="auto"/>
              <w:rPr>
                <w:rFonts w:eastAsia="Times New Roman" w:cstheme="minorHAnsi"/>
                <w:b/>
                <w:lang w:eastAsia="en-GB"/>
              </w:rPr>
            </w:pPr>
            <w:r>
              <w:rPr>
                <w:rFonts w:eastAsia="Times New Roman" w:cstheme="minorHAnsi"/>
                <w:b/>
                <w:lang w:eastAsia="en-GB"/>
              </w:rPr>
              <w:t>Estates/Land Issues Update</w:t>
            </w:r>
          </w:p>
        </w:tc>
        <w:tc>
          <w:tcPr>
            <w:tcW w:w="1560" w:type="dxa"/>
          </w:tcPr>
          <w:p w:rsidR="00755F65" w:rsidRPr="00712B67" w:rsidRDefault="00755F65" w:rsidP="00716D9E">
            <w:pPr>
              <w:spacing w:after="0" w:line="240" w:lineRule="auto"/>
              <w:rPr>
                <w:rFonts w:eastAsia="Times New Roman" w:cstheme="minorHAnsi"/>
                <w:lang w:eastAsia="en-GB"/>
              </w:rPr>
            </w:pPr>
          </w:p>
        </w:tc>
      </w:tr>
      <w:tr w:rsidR="00755F65" w:rsidRPr="00712B67" w:rsidTr="00F261C8">
        <w:trPr>
          <w:trHeight w:val="416"/>
        </w:trPr>
        <w:tc>
          <w:tcPr>
            <w:tcW w:w="749" w:type="dxa"/>
          </w:tcPr>
          <w:p w:rsidR="00755F65" w:rsidRPr="00712B67" w:rsidRDefault="00755F65" w:rsidP="00AF0510">
            <w:pPr>
              <w:spacing w:after="0" w:line="240" w:lineRule="auto"/>
              <w:rPr>
                <w:rFonts w:eastAsia="Times New Roman" w:cstheme="minorHAnsi"/>
                <w:b/>
                <w:lang w:eastAsia="en-GB"/>
              </w:rPr>
            </w:pPr>
          </w:p>
        </w:tc>
        <w:tc>
          <w:tcPr>
            <w:tcW w:w="7796" w:type="dxa"/>
          </w:tcPr>
          <w:p w:rsidR="00755F65" w:rsidRDefault="00755F65" w:rsidP="001D7FF1">
            <w:pPr>
              <w:spacing w:after="0" w:line="240" w:lineRule="auto"/>
              <w:rPr>
                <w:rFonts w:eastAsia="Times New Roman" w:cstheme="minorHAnsi"/>
                <w:lang w:eastAsia="en-GB"/>
              </w:rPr>
            </w:pPr>
            <w:r>
              <w:rPr>
                <w:rFonts w:eastAsia="Times New Roman" w:cstheme="minorHAnsi"/>
                <w:lang w:eastAsia="en-GB"/>
              </w:rPr>
              <w:t xml:space="preserve">Project Board noted the update provided in the associated Estates update report.  </w:t>
            </w:r>
          </w:p>
          <w:p w:rsidR="00755F65" w:rsidRDefault="00755F65" w:rsidP="001D7FF1">
            <w:pPr>
              <w:spacing w:after="0" w:line="240" w:lineRule="auto"/>
              <w:rPr>
                <w:rFonts w:eastAsia="Times New Roman" w:cstheme="minorHAnsi"/>
                <w:lang w:eastAsia="en-GB"/>
              </w:rPr>
            </w:pPr>
          </w:p>
          <w:p w:rsidR="00755F65" w:rsidRDefault="00755F65" w:rsidP="001D7FF1">
            <w:pPr>
              <w:spacing w:after="0" w:line="240" w:lineRule="auto"/>
              <w:rPr>
                <w:rFonts w:eastAsia="Times New Roman" w:cstheme="minorHAnsi"/>
                <w:lang w:eastAsia="en-GB"/>
              </w:rPr>
            </w:pPr>
            <w:r>
              <w:rPr>
                <w:rFonts w:eastAsia="Times New Roman" w:cstheme="minorHAnsi"/>
                <w:lang w:eastAsia="en-GB"/>
              </w:rPr>
              <w:t>It was noted that consideration needed to be given to where when the Shared Space Project run through third party lands whether Council would accept responsibility for the insurance and maintenance of the path and associated infrastructure, ie lighting, seating, signage etc.  Discussion took place in relation to Ulster Wildlife Trust and Bog Meadows and it was agreed that the Director of City and Neighbourhood Services would have further discussion with Estates Team.</w:t>
            </w:r>
          </w:p>
          <w:p w:rsidR="00755F65" w:rsidRPr="00755F65" w:rsidRDefault="00755F65" w:rsidP="001D7FF1">
            <w:pPr>
              <w:spacing w:after="0" w:line="240" w:lineRule="auto"/>
              <w:rPr>
                <w:rFonts w:eastAsia="Times New Roman" w:cstheme="minorHAnsi"/>
                <w:lang w:eastAsia="en-GB"/>
              </w:rPr>
            </w:pPr>
          </w:p>
        </w:tc>
        <w:tc>
          <w:tcPr>
            <w:tcW w:w="1560" w:type="dxa"/>
          </w:tcPr>
          <w:p w:rsidR="00755F65" w:rsidRDefault="00755F65" w:rsidP="00716D9E">
            <w:pPr>
              <w:spacing w:after="0" w:line="240" w:lineRule="auto"/>
              <w:rPr>
                <w:rFonts w:eastAsia="Times New Roman" w:cstheme="minorHAnsi"/>
                <w:b/>
                <w:lang w:eastAsia="en-GB"/>
              </w:rPr>
            </w:pPr>
            <w:r>
              <w:rPr>
                <w:rFonts w:eastAsia="Times New Roman" w:cstheme="minorHAnsi"/>
                <w:b/>
                <w:lang w:eastAsia="en-GB"/>
              </w:rPr>
              <w:t>Noted</w:t>
            </w:r>
          </w:p>
          <w:p w:rsidR="00755F65" w:rsidRDefault="00755F65" w:rsidP="00716D9E">
            <w:pPr>
              <w:spacing w:after="0" w:line="240" w:lineRule="auto"/>
              <w:rPr>
                <w:rFonts w:eastAsia="Times New Roman" w:cstheme="minorHAnsi"/>
                <w:b/>
                <w:lang w:eastAsia="en-GB"/>
              </w:rPr>
            </w:pPr>
          </w:p>
          <w:p w:rsidR="00755F65" w:rsidRDefault="00755F65" w:rsidP="00716D9E">
            <w:pPr>
              <w:spacing w:after="0" w:line="240" w:lineRule="auto"/>
              <w:rPr>
                <w:rFonts w:eastAsia="Times New Roman" w:cstheme="minorHAnsi"/>
                <w:b/>
                <w:lang w:eastAsia="en-GB"/>
              </w:rPr>
            </w:pPr>
          </w:p>
          <w:p w:rsidR="00755F65" w:rsidRPr="00755F65" w:rsidRDefault="00755F65" w:rsidP="00716D9E">
            <w:pPr>
              <w:spacing w:after="0" w:line="240" w:lineRule="auto"/>
              <w:rPr>
                <w:rFonts w:eastAsia="Times New Roman" w:cstheme="minorHAnsi"/>
                <w:b/>
                <w:lang w:eastAsia="en-GB"/>
              </w:rPr>
            </w:pPr>
            <w:r>
              <w:rPr>
                <w:rFonts w:eastAsia="Times New Roman" w:cstheme="minorHAnsi"/>
                <w:b/>
                <w:lang w:eastAsia="en-GB"/>
              </w:rPr>
              <w:t>RB/CD/PD</w:t>
            </w:r>
          </w:p>
        </w:tc>
      </w:tr>
      <w:tr w:rsidR="00755F65" w:rsidRPr="00712B67" w:rsidTr="00F261C8">
        <w:trPr>
          <w:trHeight w:val="416"/>
        </w:trPr>
        <w:tc>
          <w:tcPr>
            <w:tcW w:w="749" w:type="dxa"/>
          </w:tcPr>
          <w:p w:rsidR="00755F65" w:rsidRPr="00712B67" w:rsidRDefault="00755F65" w:rsidP="00AF0510">
            <w:pPr>
              <w:spacing w:after="0" w:line="240" w:lineRule="auto"/>
              <w:rPr>
                <w:rFonts w:eastAsia="Times New Roman" w:cstheme="minorHAnsi"/>
                <w:b/>
                <w:lang w:eastAsia="en-GB"/>
              </w:rPr>
            </w:pPr>
            <w:r>
              <w:rPr>
                <w:rFonts w:eastAsia="Times New Roman" w:cstheme="minorHAnsi"/>
                <w:b/>
                <w:lang w:eastAsia="en-GB"/>
              </w:rPr>
              <w:t>4d</w:t>
            </w:r>
          </w:p>
        </w:tc>
        <w:tc>
          <w:tcPr>
            <w:tcW w:w="7796" w:type="dxa"/>
          </w:tcPr>
          <w:p w:rsidR="00755F65" w:rsidRPr="00712B67" w:rsidRDefault="00755F65" w:rsidP="001D7FF1">
            <w:pPr>
              <w:spacing w:after="0" w:line="240" w:lineRule="auto"/>
              <w:rPr>
                <w:rFonts w:eastAsia="Times New Roman" w:cstheme="minorHAnsi"/>
                <w:b/>
                <w:lang w:eastAsia="en-GB"/>
              </w:rPr>
            </w:pPr>
            <w:r>
              <w:rPr>
                <w:rFonts w:eastAsia="Times New Roman" w:cstheme="minorHAnsi"/>
                <w:b/>
                <w:lang w:eastAsia="en-GB"/>
              </w:rPr>
              <w:t>Risk Register</w:t>
            </w:r>
          </w:p>
        </w:tc>
        <w:tc>
          <w:tcPr>
            <w:tcW w:w="1560" w:type="dxa"/>
          </w:tcPr>
          <w:p w:rsidR="00755F65" w:rsidRPr="00712B67" w:rsidRDefault="00755F65" w:rsidP="00716D9E">
            <w:pPr>
              <w:spacing w:after="0" w:line="240" w:lineRule="auto"/>
              <w:rPr>
                <w:rFonts w:eastAsia="Times New Roman" w:cstheme="minorHAnsi"/>
                <w:lang w:eastAsia="en-GB"/>
              </w:rPr>
            </w:pPr>
          </w:p>
        </w:tc>
      </w:tr>
      <w:tr w:rsidR="00755F65" w:rsidRPr="00712B67" w:rsidTr="00F261C8">
        <w:trPr>
          <w:trHeight w:val="416"/>
        </w:trPr>
        <w:tc>
          <w:tcPr>
            <w:tcW w:w="749" w:type="dxa"/>
          </w:tcPr>
          <w:p w:rsidR="00755F65" w:rsidRPr="00712B67" w:rsidRDefault="00755F65" w:rsidP="00AF0510">
            <w:pPr>
              <w:spacing w:after="0" w:line="240" w:lineRule="auto"/>
              <w:rPr>
                <w:rFonts w:eastAsia="Times New Roman" w:cstheme="minorHAnsi"/>
                <w:b/>
                <w:lang w:eastAsia="en-GB"/>
              </w:rPr>
            </w:pPr>
          </w:p>
        </w:tc>
        <w:tc>
          <w:tcPr>
            <w:tcW w:w="7796" w:type="dxa"/>
          </w:tcPr>
          <w:p w:rsidR="00755F65" w:rsidRPr="00755F65" w:rsidRDefault="00755F65" w:rsidP="001D7FF1">
            <w:pPr>
              <w:spacing w:after="0" w:line="240" w:lineRule="auto"/>
              <w:rPr>
                <w:rFonts w:eastAsia="Times New Roman" w:cstheme="minorHAnsi"/>
                <w:lang w:eastAsia="en-GB"/>
              </w:rPr>
            </w:pPr>
            <w:r>
              <w:rPr>
                <w:rFonts w:eastAsia="Times New Roman" w:cstheme="minorHAnsi"/>
                <w:lang w:eastAsia="en-GB"/>
              </w:rPr>
              <w:t>The Project Board noted the contents of the Risk Register</w:t>
            </w:r>
          </w:p>
        </w:tc>
        <w:tc>
          <w:tcPr>
            <w:tcW w:w="1560" w:type="dxa"/>
          </w:tcPr>
          <w:p w:rsidR="00755F65" w:rsidRPr="00755F65" w:rsidRDefault="00755F65" w:rsidP="00716D9E">
            <w:pPr>
              <w:spacing w:after="0" w:line="240" w:lineRule="auto"/>
              <w:rPr>
                <w:rFonts w:eastAsia="Times New Roman" w:cstheme="minorHAnsi"/>
                <w:b/>
                <w:lang w:eastAsia="en-GB"/>
              </w:rPr>
            </w:pPr>
            <w:r>
              <w:rPr>
                <w:rFonts w:eastAsia="Times New Roman" w:cstheme="minorHAnsi"/>
                <w:b/>
                <w:lang w:eastAsia="en-GB"/>
              </w:rPr>
              <w:t>Noted</w:t>
            </w:r>
          </w:p>
        </w:tc>
      </w:tr>
      <w:tr w:rsidR="00F261C8" w:rsidRPr="00712B67" w:rsidTr="00F261C8">
        <w:trPr>
          <w:trHeight w:val="416"/>
        </w:trPr>
        <w:tc>
          <w:tcPr>
            <w:tcW w:w="749" w:type="dxa"/>
          </w:tcPr>
          <w:p w:rsidR="007103C5" w:rsidRPr="00712B67" w:rsidRDefault="0060428A" w:rsidP="00AF0510">
            <w:pPr>
              <w:spacing w:after="0" w:line="240" w:lineRule="auto"/>
              <w:rPr>
                <w:rFonts w:eastAsia="Times New Roman" w:cstheme="minorHAnsi"/>
                <w:b/>
                <w:lang w:eastAsia="en-GB"/>
              </w:rPr>
            </w:pPr>
            <w:r w:rsidRPr="00712B67">
              <w:rPr>
                <w:rFonts w:eastAsia="Times New Roman" w:cstheme="minorHAnsi"/>
                <w:b/>
                <w:lang w:eastAsia="en-GB"/>
              </w:rPr>
              <w:t>5</w:t>
            </w:r>
            <w:r w:rsidR="000260AB" w:rsidRPr="00712B67">
              <w:rPr>
                <w:rFonts w:eastAsia="Times New Roman" w:cstheme="minorHAnsi"/>
                <w:b/>
                <w:lang w:eastAsia="en-GB"/>
              </w:rPr>
              <w:t>.</w:t>
            </w:r>
          </w:p>
        </w:tc>
        <w:tc>
          <w:tcPr>
            <w:tcW w:w="7796" w:type="dxa"/>
          </w:tcPr>
          <w:p w:rsidR="007103C5" w:rsidRPr="00712B67" w:rsidRDefault="000260AB" w:rsidP="001D7FF1">
            <w:pPr>
              <w:spacing w:after="0" w:line="240" w:lineRule="auto"/>
              <w:rPr>
                <w:rFonts w:eastAsia="Times New Roman" w:cstheme="minorHAnsi"/>
                <w:b/>
                <w:lang w:eastAsia="en-GB"/>
              </w:rPr>
            </w:pPr>
            <w:r w:rsidRPr="00712B67">
              <w:rPr>
                <w:rFonts w:eastAsia="Times New Roman" w:cstheme="minorHAnsi"/>
                <w:b/>
                <w:lang w:eastAsia="en-GB"/>
              </w:rPr>
              <w:t>Project Finance Update report</w:t>
            </w:r>
          </w:p>
        </w:tc>
        <w:tc>
          <w:tcPr>
            <w:tcW w:w="1560" w:type="dxa"/>
          </w:tcPr>
          <w:p w:rsidR="007103C5" w:rsidRPr="00712B67" w:rsidRDefault="007103C5" w:rsidP="00716D9E">
            <w:pPr>
              <w:spacing w:after="0" w:line="240" w:lineRule="auto"/>
              <w:rPr>
                <w:rFonts w:eastAsia="Times New Roman" w:cstheme="minorHAnsi"/>
                <w:lang w:eastAsia="en-GB"/>
              </w:rPr>
            </w:pPr>
          </w:p>
        </w:tc>
      </w:tr>
      <w:tr w:rsidR="00F261C8" w:rsidRPr="00712B67" w:rsidTr="00F261C8">
        <w:trPr>
          <w:trHeight w:val="416"/>
        </w:trPr>
        <w:tc>
          <w:tcPr>
            <w:tcW w:w="749" w:type="dxa"/>
          </w:tcPr>
          <w:p w:rsidR="0042789A" w:rsidRPr="00712B67" w:rsidRDefault="0042789A" w:rsidP="00AF0510">
            <w:pPr>
              <w:spacing w:after="0" w:line="240" w:lineRule="auto"/>
              <w:rPr>
                <w:rFonts w:eastAsia="Times New Roman" w:cstheme="minorHAnsi"/>
                <w:b/>
                <w:lang w:eastAsia="en-GB"/>
              </w:rPr>
            </w:pPr>
          </w:p>
        </w:tc>
        <w:tc>
          <w:tcPr>
            <w:tcW w:w="7796" w:type="dxa"/>
          </w:tcPr>
          <w:p w:rsidR="00190C50" w:rsidRDefault="00365F0F" w:rsidP="001D7FF1">
            <w:pPr>
              <w:rPr>
                <w:rFonts w:cstheme="minorHAnsi"/>
              </w:rPr>
            </w:pPr>
            <w:r>
              <w:rPr>
                <w:rFonts w:cstheme="minorHAnsi"/>
              </w:rPr>
              <w:t xml:space="preserve">GK presented the project finance report. </w:t>
            </w:r>
          </w:p>
          <w:p w:rsidR="00365F0F" w:rsidRDefault="00365F0F" w:rsidP="001D7FF1">
            <w:pPr>
              <w:rPr>
                <w:rFonts w:cstheme="minorHAnsi"/>
              </w:rPr>
            </w:pPr>
            <w:r>
              <w:rPr>
                <w:rFonts w:cstheme="minorHAnsi"/>
              </w:rPr>
              <w:t>It was noted that the project currently had a</w:t>
            </w:r>
            <w:r w:rsidR="00E26244">
              <w:rPr>
                <w:rFonts w:cstheme="minorHAnsi"/>
              </w:rPr>
              <w:t>n estimated</w:t>
            </w:r>
            <w:r>
              <w:rPr>
                <w:rFonts w:cstheme="minorHAnsi"/>
              </w:rPr>
              <w:t xml:space="preserve"> project b</w:t>
            </w:r>
            <w:r w:rsidR="003E18E3">
              <w:rPr>
                <w:rFonts w:cstheme="minorHAnsi"/>
              </w:rPr>
              <w:t>udget overspend of £1,051,712.85</w:t>
            </w:r>
            <w:r>
              <w:rPr>
                <w:rFonts w:cstheme="minorHAnsi"/>
              </w:rPr>
              <w:t>.  Following discussion</w:t>
            </w:r>
            <w:r w:rsidR="001D7FF1">
              <w:rPr>
                <w:rFonts w:cstheme="minorHAnsi"/>
              </w:rPr>
              <w:t>,</w:t>
            </w:r>
            <w:r>
              <w:rPr>
                <w:rFonts w:cstheme="minorHAnsi"/>
              </w:rPr>
              <w:t xml:space="preserve"> it was confirmed that the project </w:t>
            </w:r>
            <w:r w:rsidR="001D7FF1">
              <w:rPr>
                <w:rFonts w:cstheme="minorHAnsi"/>
              </w:rPr>
              <w:t>should proceed to procurement in line with the agreed quality of design.</w:t>
            </w:r>
            <w:r w:rsidR="003E18E3">
              <w:rPr>
                <w:rFonts w:cstheme="minorHAnsi"/>
              </w:rPr>
              <w:t xml:space="preserve">  It was agreed also that a fence height of 1.2 metres be put in place in Section 2 as discussed at the previous Board meeting at a cost of £44,250.</w:t>
            </w:r>
          </w:p>
          <w:p w:rsidR="003E18E3" w:rsidRDefault="003E18E3" w:rsidP="001D7FF1">
            <w:pPr>
              <w:rPr>
                <w:rFonts w:cstheme="minorHAnsi"/>
              </w:rPr>
            </w:pPr>
          </w:p>
          <w:p w:rsidR="003E18E3" w:rsidRDefault="003E18E3" w:rsidP="001D7FF1">
            <w:pPr>
              <w:rPr>
                <w:rFonts w:cstheme="minorHAnsi"/>
              </w:rPr>
            </w:pPr>
            <w:r>
              <w:rPr>
                <w:rFonts w:cstheme="minorHAnsi"/>
              </w:rPr>
              <w:t>NG/MD to ensure that Finance Oversight Board are kept up to date with cost estimates.</w:t>
            </w:r>
          </w:p>
          <w:p w:rsidR="00365F0F" w:rsidRPr="00712B67" w:rsidRDefault="00365F0F" w:rsidP="003E18E3">
            <w:pPr>
              <w:rPr>
                <w:rFonts w:cstheme="minorHAnsi"/>
              </w:rPr>
            </w:pPr>
          </w:p>
        </w:tc>
        <w:tc>
          <w:tcPr>
            <w:tcW w:w="1560" w:type="dxa"/>
          </w:tcPr>
          <w:p w:rsidR="00E26244" w:rsidRDefault="00E26244" w:rsidP="003E18E3">
            <w:pPr>
              <w:rPr>
                <w:rFonts w:eastAsia="Times New Roman" w:cstheme="minorHAnsi"/>
                <w:b/>
                <w:lang w:eastAsia="en-GB"/>
              </w:rPr>
            </w:pPr>
          </w:p>
          <w:p w:rsidR="003E18E3" w:rsidRDefault="003E18E3" w:rsidP="003E18E3">
            <w:pPr>
              <w:rPr>
                <w:rFonts w:eastAsia="Times New Roman" w:cstheme="minorHAnsi"/>
                <w:b/>
                <w:lang w:eastAsia="en-GB"/>
              </w:rPr>
            </w:pPr>
          </w:p>
          <w:p w:rsidR="003E18E3" w:rsidRDefault="003E18E3" w:rsidP="003E18E3">
            <w:pPr>
              <w:rPr>
                <w:rFonts w:eastAsia="Times New Roman" w:cstheme="minorHAnsi"/>
                <w:b/>
                <w:lang w:eastAsia="en-GB"/>
              </w:rPr>
            </w:pPr>
            <w:r>
              <w:rPr>
                <w:rFonts w:eastAsia="Times New Roman" w:cstheme="minorHAnsi"/>
                <w:b/>
                <w:lang w:eastAsia="en-GB"/>
              </w:rPr>
              <w:t>Agreed</w:t>
            </w:r>
          </w:p>
          <w:p w:rsidR="003E18E3" w:rsidRDefault="003E18E3" w:rsidP="003E18E3">
            <w:pPr>
              <w:rPr>
                <w:rFonts w:eastAsia="Times New Roman" w:cstheme="minorHAnsi"/>
                <w:b/>
                <w:lang w:eastAsia="en-GB"/>
              </w:rPr>
            </w:pPr>
          </w:p>
          <w:p w:rsidR="003E18E3" w:rsidRDefault="003E18E3" w:rsidP="003E18E3">
            <w:pPr>
              <w:rPr>
                <w:rFonts w:eastAsia="Times New Roman" w:cstheme="minorHAnsi"/>
                <w:b/>
                <w:lang w:eastAsia="en-GB"/>
              </w:rPr>
            </w:pPr>
          </w:p>
          <w:p w:rsidR="003E18E3" w:rsidRDefault="003E18E3" w:rsidP="003E18E3">
            <w:pPr>
              <w:rPr>
                <w:rFonts w:eastAsia="Times New Roman" w:cstheme="minorHAnsi"/>
                <w:b/>
                <w:lang w:eastAsia="en-GB"/>
              </w:rPr>
            </w:pPr>
          </w:p>
          <w:p w:rsidR="003E18E3" w:rsidRPr="00E26244" w:rsidRDefault="003E18E3" w:rsidP="003E18E3">
            <w:pPr>
              <w:rPr>
                <w:rFonts w:eastAsia="Times New Roman" w:cstheme="minorHAnsi"/>
                <w:b/>
                <w:lang w:eastAsia="en-GB"/>
              </w:rPr>
            </w:pPr>
            <w:r>
              <w:rPr>
                <w:rFonts w:eastAsia="Times New Roman" w:cstheme="minorHAnsi"/>
                <w:b/>
                <w:lang w:eastAsia="en-GB"/>
              </w:rPr>
              <w:t>SG/NG/MD</w:t>
            </w:r>
          </w:p>
        </w:tc>
      </w:tr>
      <w:tr w:rsidR="00747BC0" w:rsidRPr="00712B67" w:rsidTr="00F261C8">
        <w:trPr>
          <w:trHeight w:val="412"/>
        </w:trPr>
        <w:tc>
          <w:tcPr>
            <w:tcW w:w="749" w:type="dxa"/>
          </w:tcPr>
          <w:p w:rsidR="00747BC0" w:rsidRPr="00712B67" w:rsidRDefault="0044340E" w:rsidP="00AF0510">
            <w:pPr>
              <w:spacing w:after="0" w:line="240" w:lineRule="auto"/>
              <w:rPr>
                <w:rFonts w:eastAsia="Times New Roman" w:cstheme="minorHAnsi"/>
                <w:b/>
                <w:lang w:eastAsia="en-GB"/>
              </w:rPr>
            </w:pPr>
            <w:r w:rsidRPr="00712B67">
              <w:rPr>
                <w:rFonts w:eastAsia="Times New Roman" w:cstheme="minorHAnsi"/>
                <w:b/>
                <w:lang w:eastAsia="en-GB"/>
              </w:rPr>
              <w:t>6</w:t>
            </w:r>
            <w:r w:rsidR="00747BC0" w:rsidRPr="00712B67">
              <w:rPr>
                <w:rFonts w:eastAsia="Times New Roman" w:cstheme="minorHAnsi"/>
                <w:b/>
                <w:lang w:eastAsia="en-GB"/>
              </w:rPr>
              <w:t>.</w:t>
            </w:r>
          </w:p>
        </w:tc>
        <w:tc>
          <w:tcPr>
            <w:tcW w:w="7796" w:type="dxa"/>
          </w:tcPr>
          <w:p w:rsidR="00747BC0" w:rsidRPr="00712B67" w:rsidRDefault="003E18E3" w:rsidP="001D7FF1">
            <w:pPr>
              <w:spacing w:after="0" w:line="240" w:lineRule="auto"/>
              <w:rPr>
                <w:rFonts w:eastAsia="Times New Roman" w:cstheme="minorHAnsi"/>
                <w:b/>
                <w:lang w:eastAsia="en-GB"/>
              </w:rPr>
            </w:pPr>
            <w:r>
              <w:rPr>
                <w:rFonts w:eastAsia="Times New Roman" w:cstheme="minorHAnsi"/>
                <w:b/>
                <w:lang w:eastAsia="en-GB"/>
              </w:rPr>
              <w:t xml:space="preserve">SEUPB </w:t>
            </w:r>
          </w:p>
        </w:tc>
        <w:tc>
          <w:tcPr>
            <w:tcW w:w="1560" w:type="dxa"/>
          </w:tcPr>
          <w:p w:rsidR="00747BC0" w:rsidRPr="00712B67" w:rsidRDefault="00747BC0" w:rsidP="00FD3B5D">
            <w:pPr>
              <w:spacing w:after="0" w:line="240" w:lineRule="auto"/>
              <w:contextualSpacing/>
              <w:rPr>
                <w:rFonts w:eastAsia="Times New Roman" w:cstheme="minorHAnsi"/>
                <w:lang w:eastAsia="en-GB"/>
              </w:rPr>
            </w:pPr>
          </w:p>
        </w:tc>
      </w:tr>
      <w:tr w:rsidR="00747BC0" w:rsidRPr="00712B67" w:rsidTr="00F261C8">
        <w:trPr>
          <w:trHeight w:val="412"/>
        </w:trPr>
        <w:tc>
          <w:tcPr>
            <w:tcW w:w="749" w:type="dxa"/>
          </w:tcPr>
          <w:p w:rsidR="00747BC0" w:rsidRPr="00712B67" w:rsidRDefault="00747BC0" w:rsidP="00AF0510">
            <w:pPr>
              <w:spacing w:after="0" w:line="240" w:lineRule="auto"/>
              <w:rPr>
                <w:rFonts w:eastAsia="Times New Roman" w:cstheme="minorHAnsi"/>
                <w:b/>
                <w:lang w:eastAsia="en-GB"/>
              </w:rPr>
            </w:pPr>
          </w:p>
        </w:tc>
        <w:tc>
          <w:tcPr>
            <w:tcW w:w="7796" w:type="dxa"/>
          </w:tcPr>
          <w:p w:rsidR="00365F0F" w:rsidRPr="00712B67" w:rsidRDefault="003E18E3" w:rsidP="001D7FF1">
            <w:pPr>
              <w:spacing w:after="0" w:line="240" w:lineRule="auto"/>
              <w:rPr>
                <w:rFonts w:eastAsia="Times New Roman" w:cstheme="minorHAnsi"/>
                <w:lang w:eastAsia="en-GB"/>
              </w:rPr>
            </w:pPr>
            <w:r>
              <w:rPr>
                <w:rFonts w:eastAsia="Times New Roman" w:cstheme="minorHAnsi"/>
                <w:lang w:eastAsia="en-GB"/>
              </w:rPr>
              <w:t>DMcK advised that the current letter of offer had a completion date of June 2022.  She stated that discussions were ongoing with regard to a potential 3 month extension to September 2022 for the Reconnecting Open  Spaces Project.  She confirmed that she would update the Project Board on any agreed extensions</w:t>
            </w:r>
          </w:p>
        </w:tc>
        <w:tc>
          <w:tcPr>
            <w:tcW w:w="1560" w:type="dxa"/>
          </w:tcPr>
          <w:p w:rsidR="001D7FF1" w:rsidRDefault="001D7FF1" w:rsidP="00687411">
            <w:pPr>
              <w:spacing w:after="0" w:line="240" w:lineRule="auto"/>
              <w:contextualSpacing/>
              <w:rPr>
                <w:rFonts w:eastAsia="Times New Roman" w:cstheme="minorHAnsi"/>
                <w:b/>
                <w:lang w:eastAsia="en-GB"/>
              </w:rPr>
            </w:pPr>
          </w:p>
          <w:p w:rsidR="003E18E3" w:rsidRDefault="003E18E3" w:rsidP="00687411">
            <w:pPr>
              <w:spacing w:after="0" w:line="240" w:lineRule="auto"/>
              <w:contextualSpacing/>
              <w:rPr>
                <w:rFonts w:eastAsia="Times New Roman" w:cstheme="minorHAnsi"/>
                <w:b/>
                <w:lang w:eastAsia="en-GB"/>
              </w:rPr>
            </w:pPr>
          </w:p>
          <w:p w:rsidR="003E18E3" w:rsidRPr="0034604F" w:rsidRDefault="003E18E3" w:rsidP="00687411">
            <w:pPr>
              <w:spacing w:after="0" w:line="240" w:lineRule="auto"/>
              <w:contextualSpacing/>
              <w:rPr>
                <w:rFonts w:eastAsia="Times New Roman" w:cstheme="minorHAnsi"/>
                <w:b/>
                <w:lang w:eastAsia="en-GB"/>
              </w:rPr>
            </w:pPr>
            <w:r>
              <w:rPr>
                <w:rFonts w:eastAsia="Times New Roman" w:cstheme="minorHAnsi"/>
                <w:b/>
                <w:lang w:eastAsia="en-GB"/>
              </w:rPr>
              <w:t>Noted.</w:t>
            </w:r>
          </w:p>
        </w:tc>
      </w:tr>
      <w:tr w:rsidR="00755F65" w:rsidRPr="00712B67" w:rsidTr="00F261C8">
        <w:trPr>
          <w:trHeight w:val="412"/>
        </w:trPr>
        <w:tc>
          <w:tcPr>
            <w:tcW w:w="749" w:type="dxa"/>
          </w:tcPr>
          <w:p w:rsidR="00755F65" w:rsidRPr="00712B67" w:rsidRDefault="00755F65" w:rsidP="00AF0510">
            <w:pPr>
              <w:spacing w:after="0" w:line="240" w:lineRule="auto"/>
              <w:rPr>
                <w:rFonts w:eastAsia="Times New Roman" w:cstheme="minorHAnsi"/>
                <w:b/>
                <w:lang w:eastAsia="en-GB"/>
              </w:rPr>
            </w:pPr>
            <w:r>
              <w:rPr>
                <w:rFonts w:eastAsia="Times New Roman" w:cstheme="minorHAnsi"/>
                <w:b/>
                <w:lang w:eastAsia="en-GB"/>
              </w:rPr>
              <w:t>7.</w:t>
            </w:r>
          </w:p>
        </w:tc>
        <w:tc>
          <w:tcPr>
            <w:tcW w:w="7796" w:type="dxa"/>
          </w:tcPr>
          <w:p w:rsidR="00755F65" w:rsidRPr="00755F65" w:rsidRDefault="00755F65" w:rsidP="001D7FF1">
            <w:pPr>
              <w:spacing w:after="0" w:line="240" w:lineRule="auto"/>
              <w:rPr>
                <w:rFonts w:eastAsia="Times New Roman" w:cstheme="minorHAnsi"/>
                <w:b/>
                <w:lang w:eastAsia="en-GB"/>
              </w:rPr>
            </w:pPr>
            <w:r>
              <w:rPr>
                <w:rFonts w:eastAsia="Times New Roman" w:cstheme="minorHAnsi"/>
                <w:b/>
                <w:lang w:eastAsia="en-GB"/>
              </w:rPr>
              <w:t>Date of Next Meeting</w:t>
            </w:r>
          </w:p>
        </w:tc>
        <w:tc>
          <w:tcPr>
            <w:tcW w:w="1560" w:type="dxa"/>
          </w:tcPr>
          <w:p w:rsidR="00755F65" w:rsidRDefault="00755F65" w:rsidP="00687411">
            <w:pPr>
              <w:spacing w:after="0" w:line="240" w:lineRule="auto"/>
              <w:contextualSpacing/>
              <w:rPr>
                <w:rFonts w:eastAsia="Times New Roman" w:cstheme="minorHAnsi"/>
                <w:b/>
                <w:lang w:eastAsia="en-GB"/>
              </w:rPr>
            </w:pPr>
          </w:p>
        </w:tc>
      </w:tr>
      <w:tr w:rsidR="00755F65" w:rsidRPr="00712B67" w:rsidTr="00F261C8">
        <w:trPr>
          <w:trHeight w:val="412"/>
        </w:trPr>
        <w:tc>
          <w:tcPr>
            <w:tcW w:w="749" w:type="dxa"/>
          </w:tcPr>
          <w:p w:rsidR="00755F65" w:rsidRDefault="00755F65" w:rsidP="00AF0510">
            <w:pPr>
              <w:spacing w:after="0" w:line="240" w:lineRule="auto"/>
              <w:rPr>
                <w:rFonts w:eastAsia="Times New Roman" w:cstheme="minorHAnsi"/>
                <w:b/>
                <w:lang w:eastAsia="en-GB"/>
              </w:rPr>
            </w:pPr>
          </w:p>
        </w:tc>
        <w:tc>
          <w:tcPr>
            <w:tcW w:w="7796" w:type="dxa"/>
          </w:tcPr>
          <w:p w:rsidR="00755F65" w:rsidRPr="00755F65" w:rsidRDefault="00755F65" w:rsidP="001D7FF1">
            <w:pPr>
              <w:spacing w:after="0" w:line="240" w:lineRule="auto"/>
              <w:rPr>
                <w:rFonts w:eastAsia="Times New Roman" w:cstheme="minorHAnsi"/>
                <w:lang w:eastAsia="en-GB"/>
              </w:rPr>
            </w:pPr>
            <w:r>
              <w:rPr>
                <w:rFonts w:eastAsia="Times New Roman" w:cstheme="minorHAnsi"/>
                <w:lang w:eastAsia="en-GB"/>
              </w:rPr>
              <w:t>It was noted that the next Project Board meeting would take place on Wednesday 18 March 2020.</w:t>
            </w:r>
          </w:p>
        </w:tc>
        <w:tc>
          <w:tcPr>
            <w:tcW w:w="1560" w:type="dxa"/>
          </w:tcPr>
          <w:p w:rsidR="00755F65" w:rsidRPr="00755F65" w:rsidRDefault="00755F65" w:rsidP="00687411">
            <w:pPr>
              <w:spacing w:after="0" w:line="240" w:lineRule="auto"/>
              <w:contextualSpacing/>
              <w:rPr>
                <w:rFonts w:eastAsia="Times New Roman" w:cstheme="minorHAnsi"/>
                <w:b/>
                <w:lang w:eastAsia="en-GB"/>
              </w:rPr>
            </w:pPr>
            <w:r>
              <w:rPr>
                <w:rFonts w:eastAsia="Times New Roman" w:cstheme="minorHAnsi"/>
                <w:b/>
                <w:lang w:eastAsia="en-GB"/>
              </w:rPr>
              <w:t>Noted.</w:t>
            </w:r>
          </w:p>
        </w:tc>
      </w:tr>
    </w:tbl>
    <w:p w:rsidR="003F3380" w:rsidRPr="00712B67" w:rsidRDefault="003F3380" w:rsidP="004D1672">
      <w:pPr>
        <w:spacing w:after="0" w:line="240" w:lineRule="auto"/>
        <w:rPr>
          <w:rFonts w:cstheme="minorHAnsi"/>
        </w:rPr>
      </w:pPr>
    </w:p>
    <w:sectPr w:rsidR="003F3380" w:rsidRPr="00712B67" w:rsidSect="00C62736">
      <w:headerReference w:type="default" r:id="rId8"/>
      <w:footerReference w:type="even" r:id="rId9"/>
      <w:footerReference w:type="default" r:id="rId10"/>
      <w:pgSz w:w="11906" w:h="16838"/>
      <w:pgMar w:top="993" w:right="1800" w:bottom="851"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1F91" w:rsidRDefault="00371F91">
      <w:pPr>
        <w:spacing w:after="0" w:line="240" w:lineRule="auto"/>
      </w:pPr>
      <w:r>
        <w:separator/>
      </w:r>
    </w:p>
  </w:endnote>
  <w:endnote w:type="continuationSeparator" w:id="0">
    <w:p w:rsidR="00371F91" w:rsidRDefault="00371F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39D" w:rsidRDefault="001F4246" w:rsidP="003638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2736">
      <w:rPr>
        <w:rStyle w:val="PageNumber"/>
        <w:noProof/>
      </w:rPr>
      <w:t>1</w:t>
    </w:r>
    <w:r>
      <w:rPr>
        <w:rStyle w:val="PageNumber"/>
      </w:rPr>
      <w:fldChar w:fldCharType="end"/>
    </w:r>
  </w:p>
  <w:p w:rsidR="0027539D" w:rsidRDefault="00371F91" w:rsidP="0014559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539D" w:rsidRDefault="001F4246" w:rsidP="003638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58A4">
      <w:rPr>
        <w:rStyle w:val="PageNumber"/>
        <w:noProof/>
      </w:rPr>
      <w:t>4</w:t>
    </w:r>
    <w:r>
      <w:rPr>
        <w:rStyle w:val="PageNumber"/>
      </w:rPr>
      <w:fldChar w:fldCharType="end"/>
    </w:r>
  </w:p>
  <w:p w:rsidR="0027539D" w:rsidRDefault="00371F91" w:rsidP="0014559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1F91" w:rsidRDefault="00371F91">
      <w:pPr>
        <w:spacing w:after="0" w:line="240" w:lineRule="auto"/>
      </w:pPr>
      <w:r>
        <w:separator/>
      </w:r>
    </w:p>
  </w:footnote>
  <w:footnote w:type="continuationSeparator" w:id="0">
    <w:p w:rsidR="00371F91" w:rsidRDefault="00371F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40B1" w:rsidRDefault="003840B1">
    <w:pPr>
      <w:pStyle w:val="Header"/>
    </w:pPr>
    <w:r>
      <w:rPr>
        <w:noProof/>
        <w:lang w:eastAsia="en-GB"/>
      </w:rPr>
      <w:drawing>
        <wp:anchor distT="0" distB="0" distL="114300" distR="114300" simplePos="0" relativeHeight="251657216" behindDoc="0" locked="0" layoutInCell="1" allowOverlap="1" wp14:anchorId="5F5CC0CC" wp14:editId="045D45F4">
          <wp:simplePos x="0" y="0"/>
          <wp:positionH relativeFrom="column">
            <wp:posOffset>4459786</wp:posOffset>
          </wp:positionH>
          <wp:positionV relativeFrom="paragraph">
            <wp:posOffset>-84455</wp:posOffset>
          </wp:positionV>
          <wp:extent cx="1310640" cy="524510"/>
          <wp:effectExtent l="0" t="0" r="3810" b="889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52451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w:drawing>
        <wp:inline distT="0" distB="0" distL="0" distR="0" wp14:anchorId="09514E14" wp14:editId="0F2CFDBB">
          <wp:extent cx="932815" cy="438785"/>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2815" cy="4387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D620D"/>
    <w:multiLevelType w:val="hybridMultilevel"/>
    <w:tmpl w:val="7A72F7FE"/>
    <w:lvl w:ilvl="0" w:tplc="BB486F34">
      <w:start w:val="5"/>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3DD51BE"/>
    <w:multiLevelType w:val="hybridMultilevel"/>
    <w:tmpl w:val="79B6D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1064C8"/>
    <w:multiLevelType w:val="hybridMultilevel"/>
    <w:tmpl w:val="210054F0"/>
    <w:lvl w:ilvl="0" w:tplc="7F2E9A9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2A493D"/>
    <w:multiLevelType w:val="hybridMultilevel"/>
    <w:tmpl w:val="E19CD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E85669"/>
    <w:multiLevelType w:val="hybridMultilevel"/>
    <w:tmpl w:val="801293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051E9E"/>
    <w:multiLevelType w:val="hybridMultilevel"/>
    <w:tmpl w:val="87D8E094"/>
    <w:lvl w:ilvl="0" w:tplc="469C1CBA">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6836F66"/>
    <w:multiLevelType w:val="hybridMultilevel"/>
    <w:tmpl w:val="0F0E0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BA15E1F"/>
    <w:multiLevelType w:val="hybridMultilevel"/>
    <w:tmpl w:val="3288F96E"/>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0D570146"/>
    <w:multiLevelType w:val="hybridMultilevel"/>
    <w:tmpl w:val="16228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5F3018"/>
    <w:multiLevelType w:val="hybridMultilevel"/>
    <w:tmpl w:val="8812A06C"/>
    <w:lvl w:ilvl="0" w:tplc="ECF4E7EA">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40008C"/>
    <w:multiLevelType w:val="hybridMultilevel"/>
    <w:tmpl w:val="6ABE82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7D3B07"/>
    <w:multiLevelType w:val="hybridMultilevel"/>
    <w:tmpl w:val="93CC9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5E0875"/>
    <w:multiLevelType w:val="hybridMultilevel"/>
    <w:tmpl w:val="256C2110"/>
    <w:lvl w:ilvl="0" w:tplc="935CBB90">
      <w:start w:val="8"/>
      <w:numFmt w:val="bullet"/>
      <w:lvlText w:val="-"/>
      <w:lvlJc w:val="left"/>
      <w:pPr>
        <w:ind w:left="420" w:hanging="360"/>
      </w:pPr>
      <w:rPr>
        <w:rFonts w:ascii="Arial" w:eastAsiaTheme="majorEastAsia"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3" w15:restartNumberingAfterBreak="0">
    <w:nsid w:val="2A48495F"/>
    <w:multiLevelType w:val="hybridMultilevel"/>
    <w:tmpl w:val="F6FCB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93209A"/>
    <w:multiLevelType w:val="multilevel"/>
    <w:tmpl w:val="0B2A8604"/>
    <w:lvl w:ilvl="0">
      <w:start w:val="1"/>
      <w:numFmt w:val="decimal"/>
      <w:lvlText w:val="%1.0"/>
      <w:lvlJc w:val="left"/>
      <w:pPr>
        <w:ind w:left="720" w:hanging="720"/>
      </w:pPr>
      <w:rPr>
        <w:rFonts w:ascii="Verdana" w:hAnsi="Verdana" w:hint="default"/>
        <w:b/>
        <w:color w:val="auto"/>
        <w:sz w:val="22"/>
        <w:szCs w:val="22"/>
      </w:rPr>
    </w:lvl>
    <w:lvl w:ilv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35CA4163"/>
    <w:multiLevelType w:val="hybridMultilevel"/>
    <w:tmpl w:val="B51EF6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DA179E"/>
    <w:multiLevelType w:val="hybridMultilevel"/>
    <w:tmpl w:val="8AA8C0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0B56B1"/>
    <w:multiLevelType w:val="hybridMultilevel"/>
    <w:tmpl w:val="9DB6DE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8A33E8"/>
    <w:multiLevelType w:val="hybridMultilevel"/>
    <w:tmpl w:val="F8601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AC14F5"/>
    <w:multiLevelType w:val="hybridMultilevel"/>
    <w:tmpl w:val="C2F83A7C"/>
    <w:lvl w:ilvl="0" w:tplc="938AB386">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41B44627"/>
    <w:multiLevelType w:val="hybridMultilevel"/>
    <w:tmpl w:val="2DE86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2840147"/>
    <w:multiLevelType w:val="hybridMultilevel"/>
    <w:tmpl w:val="50BEE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7BD69E6"/>
    <w:multiLevelType w:val="hybridMultilevel"/>
    <w:tmpl w:val="EFD664A6"/>
    <w:lvl w:ilvl="0" w:tplc="2DCEC264">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DD11103"/>
    <w:multiLevelType w:val="hybridMultilevel"/>
    <w:tmpl w:val="8C0C3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EE2179"/>
    <w:multiLevelType w:val="hybridMultilevel"/>
    <w:tmpl w:val="90AC9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17E25C6"/>
    <w:multiLevelType w:val="hybridMultilevel"/>
    <w:tmpl w:val="8F60C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9E6D1A"/>
    <w:multiLevelType w:val="hybridMultilevel"/>
    <w:tmpl w:val="74AED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C4125D"/>
    <w:multiLevelType w:val="hybridMultilevel"/>
    <w:tmpl w:val="812E35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40515F"/>
    <w:multiLevelType w:val="multilevel"/>
    <w:tmpl w:val="EE7CAEA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59B82E86"/>
    <w:multiLevelType w:val="hybridMultilevel"/>
    <w:tmpl w:val="C14864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1570169"/>
    <w:multiLevelType w:val="hybridMultilevel"/>
    <w:tmpl w:val="9CF62D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FF4090"/>
    <w:multiLevelType w:val="hybridMultilevel"/>
    <w:tmpl w:val="7D8CC0D4"/>
    <w:lvl w:ilvl="0" w:tplc="07F0F764">
      <w:start w:val="1"/>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32" w15:restartNumberingAfterBreak="0">
    <w:nsid w:val="6CDF633B"/>
    <w:multiLevelType w:val="hybridMultilevel"/>
    <w:tmpl w:val="21122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65763D"/>
    <w:multiLevelType w:val="hybridMultilevel"/>
    <w:tmpl w:val="863AC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69651A"/>
    <w:multiLevelType w:val="hybridMultilevel"/>
    <w:tmpl w:val="A59CD0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BC15D1B"/>
    <w:multiLevelType w:val="hybridMultilevel"/>
    <w:tmpl w:val="1F489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C967D3"/>
    <w:multiLevelType w:val="hybridMultilevel"/>
    <w:tmpl w:val="AFF6D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23"/>
  </w:num>
  <w:num w:numId="3">
    <w:abstractNumId w:val="4"/>
  </w:num>
  <w:num w:numId="4">
    <w:abstractNumId w:val="18"/>
  </w:num>
  <w:num w:numId="5">
    <w:abstractNumId w:val="0"/>
  </w:num>
  <w:num w:numId="6">
    <w:abstractNumId w:val="21"/>
  </w:num>
  <w:num w:numId="7">
    <w:abstractNumId w:val="26"/>
  </w:num>
  <w:num w:numId="8">
    <w:abstractNumId w:val="13"/>
  </w:num>
  <w:num w:numId="9">
    <w:abstractNumId w:val="32"/>
  </w:num>
  <w:num w:numId="10">
    <w:abstractNumId w:val="3"/>
  </w:num>
  <w:num w:numId="11">
    <w:abstractNumId w:val="17"/>
  </w:num>
  <w:num w:numId="12">
    <w:abstractNumId w:val="29"/>
  </w:num>
  <w:num w:numId="13">
    <w:abstractNumId w:val="24"/>
  </w:num>
  <w:num w:numId="14">
    <w:abstractNumId w:val="2"/>
  </w:num>
  <w:num w:numId="15">
    <w:abstractNumId w:val="25"/>
  </w:num>
  <w:num w:numId="16">
    <w:abstractNumId w:val="7"/>
    <w:lvlOverride w:ilvl="0">
      <w:startOverride w:val="1"/>
    </w:lvlOverride>
    <w:lvlOverride w:ilvl="1"/>
    <w:lvlOverride w:ilvl="2"/>
    <w:lvlOverride w:ilvl="3"/>
    <w:lvlOverride w:ilvl="4"/>
    <w:lvlOverride w:ilvl="5"/>
    <w:lvlOverride w:ilvl="6"/>
    <w:lvlOverride w:ilvl="7"/>
    <w:lvlOverride w:ilvl="8"/>
  </w:num>
  <w:num w:numId="17">
    <w:abstractNumId w:val="33"/>
  </w:num>
  <w:num w:numId="18">
    <w:abstractNumId w:val="16"/>
  </w:num>
  <w:num w:numId="19">
    <w:abstractNumId w:val="20"/>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1"/>
  </w:num>
  <w:num w:numId="23">
    <w:abstractNumId w:val="14"/>
  </w:num>
  <w:num w:numId="24">
    <w:abstractNumId w:val="28"/>
  </w:num>
  <w:num w:numId="25">
    <w:abstractNumId w:val="12"/>
  </w:num>
  <w:num w:numId="26">
    <w:abstractNumId w:val="22"/>
  </w:num>
  <w:num w:numId="27">
    <w:abstractNumId w:val="35"/>
  </w:num>
  <w:num w:numId="28">
    <w:abstractNumId w:val="9"/>
  </w:num>
  <w:num w:numId="29">
    <w:abstractNumId w:val="36"/>
  </w:num>
  <w:num w:numId="30">
    <w:abstractNumId w:val="30"/>
  </w:num>
  <w:num w:numId="31">
    <w:abstractNumId w:val="27"/>
  </w:num>
  <w:num w:numId="32">
    <w:abstractNumId w:val="8"/>
  </w:num>
  <w:num w:numId="33">
    <w:abstractNumId w:val="15"/>
  </w:num>
  <w:num w:numId="34">
    <w:abstractNumId w:val="1"/>
  </w:num>
  <w:num w:numId="35">
    <w:abstractNumId w:val="5"/>
  </w:num>
  <w:num w:numId="36">
    <w:abstractNumId w:val="34"/>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D9E"/>
    <w:rsid w:val="00000D3B"/>
    <w:rsid w:val="000012F2"/>
    <w:rsid w:val="00001918"/>
    <w:rsid w:val="000051E5"/>
    <w:rsid w:val="00012E2B"/>
    <w:rsid w:val="00015094"/>
    <w:rsid w:val="00024C32"/>
    <w:rsid w:val="000260AB"/>
    <w:rsid w:val="00027BFF"/>
    <w:rsid w:val="000300E6"/>
    <w:rsid w:val="00034BC1"/>
    <w:rsid w:val="0003791F"/>
    <w:rsid w:val="00043B08"/>
    <w:rsid w:val="000538A6"/>
    <w:rsid w:val="00053E76"/>
    <w:rsid w:val="000637A7"/>
    <w:rsid w:val="000668EE"/>
    <w:rsid w:val="000718FF"/>
    <w:rsid w:val="00082816"/>
    <w:rsid w:val="00085521"/>
    <w:rsid w:val="0008713B"/>
    <w:rsid w:val="000929AA"/>
    <w:rsid w:val="00092CAD"/>
    <w:rsid w:val="0009461B"/>
    <w:rsid w:val="00097773"/>
    <w:rsid w:val="000A0331"/>
    <w:rsid w:val="000A3E4D"/>
    <w:rsid w:val="000A5A38"/>
    <w:rsid w:val="000B1D5B"/>
    <w:rsid w:val="000B3039"/>
    <w:rsid w:val="000B4D46"/>
    <w:rsid w:val="000C3554"/>
    <w:rsid w:val="000D1889"/>
    <w:rsid w:val="000D51F6"/>
    <w:rsid w:val="000D6E95"/>
    <w:rsid w:val="000E2D1B"/>
    <w:rsid w:val="000F4B5F"/>
    <w:rsid w:val="000F5763"/>
    <w:rsid w:val="000F63CD"/>
    <w:rsid w:val="000F7E16"/>
    <w:rsid w:val="00100F65"/>
    <w:rsid w:val="00104448"/>
    <w:rsid w:val="0011311C"/>
    <w:rsid w:val="00113E6B"/>
    <w:rsid w:val="0012022E"/>
    <w:rsid w:val="001214C5"/>
    <w:rsid w:val="00124FB0"/>
    <w:rsid w:val="00126D27"/>
    <w:rsid w:val="00127979"/>
    <w:rsid w:val="00130B16"/>
    <w:rsid w:val="00144233"/>
    <w:rsid w:val="001462A1"/>
    <w:rsid w:val="00147B60"/>
    <w:rsid w:val="00147BA8"/>
    <w:rsid w:val="00152237"/>
    <w:rsid w:val="0015336A"/>
    <w:rsid w:val="00156B34"/>
    <w:rsid w:val="00165110"/>
    <w:rsid w:val="0017431C"/>
    <w:rsid w:val="00176937"/>
    <w:rsid w:val="00180A47"/>
    <w:rsid w:val="00190C50"/>
    <w:rsid w:val="00197DD6"/>
    <w:rsid w:val="001A12CA"/>
    <w:rsid w:val="001A13CD"/>
    <w:rsid w:val="001A23D2"/>
    <w:rsid w:val="001A452E"/>
    <w:rsid w:val="001A45C9"/>
    <w:rsid w:val="001B0D85"/>
    <w:rsid w:val="001B10FB"/>
    <w:rsid w:val="001B1148"/>
    <w:rsid w:val="001B3A15"/>
    <w:rsid w:val="001C369A"/>
    <w:rsid w:val="001C3EA4"/>
    <w:rsid w:val="001C44FA"/>
    <w:rsid w:val="001C4B74"/>
    <w:rsid w:val="001D5A8C"/>
    <w:rsid w:val="001D74CD"/>
    <w:rsid w:val="001D7FF1"/>
    <w:rsid w:val="001E4647"/>
    <w:rsid w:val="001E55C3"/>
    <w:rsid w:val="001E72EA"/>
    <w:rsid w:val="001F277A"/>
    <w:rsid w:val="001F4246"/>
    <w:rsid w:val="001F48AA"/>
    <w:rsid w:val="00203F45"/>
    <w:rsid w:val="00204370"/>
    <w:rsid w:val="00206753"/>
    <w:rsid w:val="00206CE7"/>
    <w:rsid w:val="00210AC4"/>
    <w:rsid w:val="002178ED"/>
    <w:rsid w:val="0022180B"/>
    <w:rsid w:val="002221EC"/>
    <w:rsid w:val="002305F7"/>
    <w:rsid w:val="00235AC7"/>
    <w:rsid w:val="002366DF"/>
    <w:rsid w:val="002423E3"/>
    <w:rsid w:val="002479E5"/>
    <w:rsid w:val="00251EFA"/>
    <w:rsid w:val="00254E61"/>
    <w:rsid w:val="00257118"/>
    <w:rsid w:val="002571D8"/>
    <w:rsid w:val="00262913"/>
    <w:rsid w:val="00263131"/>
    <w:rsid w:val="00263E37"/>
    <w:rsid w:val="002661AD"/>
    <w:rsid w:val="00266B58"/>
    <w:rsid w:val="00273D8D"/>
    <w:rsid w:val="00276394"/>
    <w:rsid w:val="00277B6D"/>
    <w:rsid w:val="00282A95"/>
    <w:rsid w:val="0029178B"/>
    <w:rsid w:val="00297E61"/>
    <w:rsid w:val="002B1D1D"/>
    <w:rsid w:val="002B69B4"/>
    <w:rsid w:val="002B75E6"/>
    <w:rsid w:val="002D3ABF"/>
    <w:rsid w:val="002D4956"/>
    <w:rsid w:val="002D5093"/>
    <w:rsid w:val="002E00DB"/>
    <w:rsid w:val="002E41C9"/>
    <w:rsid w:val="002F1287"/>
    <w:rsid w:val="002F1C1E"/>
    <w:rsid w:val="00300FE7"/>
    <w:rsid w:val="00301F29"/>
    <w:rsid w:val="003043BB"/>
    <w:rsid w:val="00305025"/>
    <w:rsid w:val="00305415"/>
    <w:rsid w:val="003270C9"/>
    <w:rsid w:val="0033129B"/>
    <w:rsid w:val="00331D34"/>
    <w:rsid w:val="00331E94"/>
    <w:rsid w:val="00334615"/>
    <w:rsid w:val="0034604F"/>
    <w:rsid w:val="00346290"/>
    <w:rsid w:val="00347204"/>
    <w:rsid w:val="00353F7F"/>
    <w:rsid w:val="00362256"/>
    <w:rsid w:val="00364C3A"/>
    <w:rsid w:val="00365F0F"/>
    <w:rsid w:val="00367A6E"/>
    <w:rsid w:val="00371E17"/>
    <w:rsid w:val="00371F91"/>
    <w:rsid w:val="00374823"/>
    <w:rsid w:val="00377C2C"/>
    <w:rsid w:val="00382AE7"/>
    <w:rsid w:val="003840B1"/>
    <w:rsid w:val="003851B3"/>
    <w:rsid w:val="00386941"/>
    <w:rsid w:val="00393A13"/>
    <w:rsid w:val="003A627B"/>
    <w:rsid w:val="003A6D09"/>
    <w:rsid w:val="003A7494"/>
    <w:rsid w:val="003B10D0"/>
    <w:rsid w:val="003B313F"/>
    <w:rsid w:val="003B6C96"/>
    <w:rsid w:val="003B7316"/>
    <w:rsid w:val="003B7FC7"/>
    <w:rsid w:val="003C12EE"/>
    <w:rsid w:val="003C77EB"/>
    <w:rsid w:val="003D143D"/>
    <w:rsid w:val="003D633E"/>
    <w:rsid w:val="003D6576"/>
    <w:rsid w:val="003E18E3"/>
    <w:rsid w:val="003E6AAC"/>
    <w:rsid w:val="003F0E13"/>
    <w:rsid w:val="003F3380"/>
    <w:rsid w:val="003F5888"/>
    <w:rsid w:val="004013E7"/>
    <w:rsid w:val="0040400F"/>
    <w:rsid w:val="00404739"/>
    <w:rsid w:val="0040536B"/>
    <w:rsid w:val="0040560D"/>
    <w:rsid w:val="00425B1A"/>
    <w:rsid w:val="0042789A"/>
    <w:rsid w:val="00427D82"/>
    <w:rsid w:val="0043271B"/>
    <w:rsid w:val="00433D77"/>
    <w:rsid w:val="0043519E"/>
    <w:rsid w:val="0044005C"/>
    <w:rsid w:val="0044340E"/>
    <w:rsid w:val="00443E0F"/>
    <w:rsid w:val="00446008"/>
    <w:rsid w:val="004567A3"/>
    <w:rsid w:val="00463DB0"/>
    <w:rsid w:val="0046712F"/>
    <w:rsid w:val="00483807"/>
    <w:rsid w:val="00484CF3"/>
    <w:rsid w:val="00485B76"/>
    <w:rsid w:val="00486890"/>
    <w:rsid w:val="00486B25"/>
    <w:rsid w:val="0048739E"/>
    <w:rsid w:val="00492C25"/>
    <w:rsid w:val="004934F9"/>
    <w:rsid w:val="004966E2"/>
    <w:rsid w:val="00496BFC"/>
    <w:rsid w:val="00497D07"/>
    <w:rsid w:val="004A1B5B"/>
    <w:rsid w:val="004A241F"/>
    <w:rsid w:val="004A28A9"/>
    <w:rsid w:val="004A306B"/>
    <w:rsid w:val="004A350A"/>
    <w:rsid w:val="004A505F"/>
    <w:rsid w:val="004A65CF"/>
    <w:rsid w:val="004A6CD1"/>
    <w:rsid w:val="004B337A"/>
    <w:rsid w:val="004B3E25"/>
    <w:rsid w:val="004C3B50"/>
    <w:rsid w:val="004C536D"/>
    <w:rsid w:val="004D00D6"/>
    <w:rsid w:val="004D1672"/>
    <w:rsid w:val="004D48C9"/>
    <w:rsid w:val="004E10E9"/>
    <w:rsid w:val="004E6EC6"/>
    <w:rsid w:val="004F0F6D"/>
    <w:rsid w:val="004F432B"/>
    <w:rsid w:val="004F55E6"/>
    <w:rsid w:val="00501414"/>
    <w:rsid w:val="00504F8A"/>
    <w:rsid w:val="0050580B"/>
    <w:rsid w:val="00511D74"/>
    <w:rsid w:val="00522E23"/>
    <w:rsid w:val="00530773"/>
    <w:rsid w:val="00530EAE"/>
    <w:rsid w:val="00532033"/>
    <w:rsid w:val="00533B45"/>
    <w:rsid w:val="00541237"/>
    <w:rsid w:val="0055214E"/>
    <w:rsid w:val="0056616C"/>
    <w:rsid w:val="00576EC2"/>
    <w:rsid w:val="005863B4"/>
    <w:rsid w:val="00586C0D"/>
    <w:rsid w:val="00596490"/>
    <w:rsid w:val="005A00BB"/>
    <w:rsid w:val="005A1775"/>
    <w:rsid w:val="005A239C"/>
    <w:rsid w:val="005A2992"/>
    <w:rsid w:val="005A71BA"/>
    <w:rsid w:val="005B0724"/>
    <w:rsid w:val="005B19A9"/>
    <w:rsid w:val="005B21E7"/>
    <w:rsid w:val="005D1C99"/>
    <w:rsid w:val="005D2B68"/>
    <w:rsid w:val="005E3196"/>
    <w:rsid w:val="005E6676"/>
    <w:rsid w:val="005F0106"/>
    <w:rsid w:val="005F033A"/>
    <w:rsid w:val="005F33B8"/>
    <w:rsid w:val="005F708A"/>
    <w:rsid w:val="00600F00"/>
    <w:rsid w:val="00601005"/>
    <w:rsid w:val="00602976"/>
    <w:rsid w:val="0060343F"/>
    <w:rsid w:val="0060428A"/>
    <w:rsid w:val="00604AD6"/>
    <w:rsid w:val="00611989"/>
    <w:rsid w:val="00614175"/>
    <w:rsid w:val="00615DE4"/>
    <w:rsid w:val="00626120"/>
    <w:rsid w:val="0063299D"/>
    <w:rsid w:val="006337E9"/>
    <w:rsid w:val="00636971"/>
    <w:rsid w:val="006400E3"/>
    <w:rsid w:val="006430FB"/>
    <w:rsid w:val="006462E0"/>
    <w:rsid w:val="006474CC"/>
    <w:rsid w:val="00647EC7"/>
    <w:rsid w:val="006576B7"/>
    <w:rsid w:val="00663F95"/>
    <w:rsid w:val="006730D3"/>
    <w:rsid w:val="0067562F"/>
    <w:rsid w:val="006831DA"/>
    <w:rsid w:val="00687411"/>
    <w:rsid w:val="0069041B"/>
    <w:rsid w:val="00691A76"/>
    <w:rsid w:val="006958A4"/>
    <w:rsid w:val="006A2688"/>
    <w:rsid w:val="006B0F46"/>
    <w:rsid w:val="006B1A2C"/>
    <w:rsid w:val="006B463E"/>
    <w:rsid w:val="006C2A8B"/>
    <w:rsid w:val="006C4DF7"/>
    <w:rsid w:val="006D1103"/>
    <w:rsid w:val="006D463F"/>
    <w:rsid w:val="006D7F8B"/>
    <w:rsid w:val="006E1698"/>
    <w:rsid w:val="00701776"/>
    <w:rsid w:val="007018EB"/>
    <w:rsid w:val="00702F20"/>
    <w:rsid w:val="007038D2"/>
    <w:rsid w:val="007039A5"/>
    <w:rsid w:val="0070739E"/>
    <w:rsid w:val="007103AE"/>
    <w:rsid w:val="007103C5"/>
    <w:rsid w:val="00712B67"/>
    <w:rsid w:val="00715E38"/>
    <w:rsid w:val="00716D9E"/>
    <w:rsid w:val="00730923"/>
    <w:rsid w:val="00730BE2"/>
    <w:rsid w:val="00730FC9"/>
    <w:rsid w:val="0073459E"/>
    <w:rsid w:val="00742ABA"/>
    <w:rsid w:val="00747BC0"/>
    <w:rsid w:val="00755DC4"/>
    <w:rsid w:val="00755F65"/>
    <w:rsid w:val="00762240"/>
    <w:rsid w:val="007710DD"/>
    <w:rsid w:val="0079412B"/>
    <w:rsid w:val="00795C1F"/>
    <w:rsid w:val="007A0530"/>
    <w:rsid w:val="007A182E"/>
    <w:rsid w:val="007B39FE"/>
    <w:rsid w:val="007B3FDA"/>
    <w:rsid w:val="007C1FF7"/>
    <w:rsid w:val="007C69FB"/>
    <w:rsid w:val="007C7D49"/>
    <w:rsid w:val="007D4D31"/>
    <w:rsid w:val="007D5D41"/>
    <w:rsid w:val="007E17C1"/>
    <w:rsid w:val="007E2BBC"/>
    <w:rsid w:val="007F03DC"/>
    <w:rsid w:val="007F0F78"/>
    <w:rsid w:val="007F1A1A"/>
    <w:rsid w:val="007F7B86"/>
    <w:rsid w:val="008023BA"/>
    <w:rsid w:val="00812539"/>
    <w:rsid w:val="008153A1"/>
    <w:rsid w:val="008213F0"/>
    <w:rsid w:val="00821A1A"/>
    <w:rsid w:val="00821AD7"/>
    <w:rsid w:val="0082753D"/>
    <w:rsid w:val="008332C6"/>
    <w:rsid w:val="00843B98"/>
    <w:rsid w:val="0084763F"/>
    <w:rsid w:val="008555C7"/>
    <w:rsid w:val="00862D5B"/>
    <w:rsid w:val="00864EC3"/>
    <w:rsid w:val="008770A3"/>
    <w:rsid w:val="0088248E"/>
    <w:rsid w:val="0088493E"/>
    <w:rsid w:val="00887475"/>
    <w:rsid w:val="008876C0"/>
    <w:rsid w:val="00893C48"/>
    <w:rsid w:val="008947C5"/>
    <w:rsid w:val="008A08D2"/>
    <w:rsid w:val="008A1CA7"/>
    <w:rsid w:val="008A235D"/>
    <w:rsid w:val="008A38F2"/>
    <w:rsid w:val="008C1580"/>
    <w:rsid w:val="008C1789"/>
    <w:rsid w:val="008C6EB2"/>
    <w:rsid w:val="008E4320"/>
    <w:rsid w:val="008E686D"/>
    <w:rsid w:val="008E75F9"/>
    <w:rsid w:val="008E7A47"/>
    <w:rsid w:val="008F08AC"/>
    <w:rsid w:val="008F7A7D"/>
    <w:rsid w:val="008F7F33"/>
    <w:rsid w:val="00903A12"/>
    <w:rsid w:val="00907DC8"/>
    <w:rsid w:val="0091008E"/>
    <w:rsid w:val="00912AF9"/>
    <w:rsid w:val="00914F5C"/>
    <w:rsid w:val="00917600"/>
    <w:rsid w:val="009302FC"/>
    <w:rsid w:val="0093382D"/>
    <w:rsid w:val="00934BCF"/>
    <w:rsid w:val="00935E0B"/>
    <w:rsid w:val="00943554"/>
    <w:rsid w:val="009446C5"/>
    <w:rsid w:val="00946BF9"/>
    <w:rsid w:val="00954CD3"/>
    <w:rsid w:val="009557E5"/>
    <w:rsid w:val="009625A6"/>
    <w:rsid w:val="00963277"/>
    <w:rsid w:val="00967F83"/>
    <w:rsid w:val="00970A90"/>
    <w:rsid w:val="00972D3F"/>
    <w:rsid w:val="0097523C"/>
    <w:rsid w:val="00976F79"/>
    <w:rsid w:val="00986576"/>
    <w:rsid w:val="00987050"/>
    <w:rsid w:val="00990F4D"/>
    <w:rsid w:val="009938D3"/>
    <w:rsid w:val="00995B93"/>
    <w:rsid w:val="009974E4"/>
    <w:rsid w:val="009A31C6"/>
    <w:rsid w:val="009A6EC4"/>
    <w:rsid w:val="009B2A8F"/>
    <w:rsid w:val="009B4BA1"/>
    <w:rsid w:val="009D12AC"/>
    <w:rsid w:val="009D3759"/>
    <w:rsid w:val="009D4EFD"/>
    <w:rsid w:val="009D5901"/>
    <w:rsid w:val="009E062F"/>
    <w:rsid w:val="009F06F0"/>
    <w:rsid w:val="009F51F9"/>
    <w:rsid w:val="009F54D5"/>
    <w:rsid w:val="00A04BA4"/>
    <w:rsid w:val="00A145D7"/>
    <w:rsid w:val="00A175C4"/>
    <w:rsid w:val="00A24587"/>
    <w:rsid w:val="00A249D4"/>
    <w:rsid w:val="00A24F71"/>
    <w:rsid w:val="00A27606"/>
    <w:rsid w:val="00A32D4B"/>
    <w:rsid w:val="00A5363F"/>
    <w:rsid w:val="00A555C3"/>
    <w:rsid w:val="00A66548"/>
    <w:rsid w:val="00A66B9E"/>
    <w:rsid w:val="00A714B5"/>
    <w:rsid w:val="00A7183A"/>
    <w:rsid w:val="00A73424"/>
    <w:rsid w:val="00A74528"/>
    <w:rsid w:val="00A76D9C"/>
    <w:rsid w:val="00A80121"/>
    <w:rsid w:val="00A828AD"/>
    <w:rsid w:val="00A83ECE"/>
    <w:rsid w:val="00A84D47"/>
    <w:rsid w:val="00A91F25"/>
    <w:rsid w:val="00A93AF6"/>
    <w:rsid w:val="00AA033F"/>
    <w:rsid w:val="00AA15A6"/>
    <w:rsid w:val="00AA3ED4"/>
    <w:rsid w:val="00AA5A89"/>
    <w:rsid w:val="00AA66AB"/>
    <w:rsid w:val="00AB3DA0"/>
    <w:rsid w:val="00AB71EF"/>
    <w:rsid w:val="00AC060C"/>
    <w:rsid w:val="00AC198E"/>
    <w:rsid w:val="00AC5061"/>
    <w:rsid w:val="00AD0115"/>
    <w:rsid w:val="00AD3C6A"/>
    <w:rsid w:val="00AD43AD"/>
    <w:rsid w:val="00AE13EC"/>
    <w:rsid w:val="00AE1E85"/>
    <w:rsid w:val="00AF0510"/>
    <w:rsid w:val="00AF3910"/>
    <w:rsid w:val="00AF40B1"/>
    <w:rsid w:val="00AF5B4D"/>
    <w:rsid w:val="00AF641E"/>
    <w:rsid w:val="00B03FB1"/>
    <w:rsid w:val="00B1163B"/>
    <w:rsid w:val="00B17609"/>
    <w:rsid w:val="00B204B8"/>
    <w:rsid w:val="00B22BB7"/>
    <w:rsid w:val="00B3099C"/>
    <w:rsid w:val="00B30D30"/>
    <w:rsid w:val="00B33E63"/>
    <w:rsid w:val="00B3445A"/>
    <w:rsid w:val="00B40400"/>
    <w:rsid w:val="00B4068B"/>
    <w:rsid w:val="00B45DCD"/>
    <w:rsid w:val="00B5090D"/>
    <w:rsid w:val="00B51195"/>
    <w:rsid w:val="00B51994"/>
    <w:rsid w:val="00B54A8C"/>
    <w:rsid w:val="00B62D70"/>
    <w:rsid w:val="00B63960"/>
    <w:rsid w:val="00B74404"/>
    <w:rsid w:val="00B76237"/>
    <w:rsid w:val="00B76C6C"/>
    <w:rsid w:val="00B81B5A"/>
    <w:rsid w:val="00B81FDE"/>
    <w:rsid w:val="00B83015"/>
    <w:rsid w:val="00B8356C"/>
    <w:rsid w:val="00B87727"/>
    <w:rsid w:val="00B907D7"/>
    <w:rsid w:val="00B91E4E"/>
    <w:rsid w:val="00B95271"/>
    <w:rsid w:val="00BB3C15"/>
    <w:rsid w:val="00BB7576"/>
    <w:rsid w:val="00BC28B2"/>
    <w:rsid w:val="00BC5320"/>
    <w:rsid w:val="00BC73E5"/>
    <w:rsid w:val="00BD4F0B"/>
    <w:rsid w:val="00BD6363"/>
    <w:rsid w:val="00BD764D"/>
    <w:rsid w:val="00BE1C8D"/>
    <w:rsid w:val="00BE698A"/>
    <w:rsid w:val="00BE7CF4"/>
    <w:rsid w:val="00BF2EC1"/>
    <w:rsid w:val="00C00847"/>
    <w:rsid w:val="00C0207D"/>
    <w:rsid w:val="00C064EF"/>
    <w:rsid w:val="00C1125C"/>
    <w:rsid w:val="00C15A90"/>
    <w:rsid w:val="00C43B3A"/>
    <w:rsid w:val="00C44CD6"/>
    <w:rsid w:val="00C45497"/>
    <w:rsid w:val="00C477B5"/>
    <w:rsid w:val="00C54CA1"/>
    <w:rsid w:val="00C62736"/>
    <w:rsid w:val="00C62D5F"/>
    <w:rsid w:val="00C706DC"/>
    <w:rsid w:val="00C831AC"/>
    <w:rsid w:val="00C852BB"/>
    <w:rsid w:val="00C86834"/>
    <w:rsid w:val="00CA001D"/>
    <w:rsid w:val="00CA280A"/>
    <w:rsid w:val="00CA6FE4"/>
    <w:rsid w:val="00CA7470"/>
    <w:rsid w:val="00CB2149"/>
    <w:rsid w:val="00CC72AA"/>
    <w:rsid w:val="00CC7595"/>
    <w:rsid w:val="00CD6383"/>
    <w:rsid w:val="00CF0831"/>
    <w:rsid w:val="00CF2A31"/>
    <w:rsid w:val="00CF2ADF"/>
    <w:rsid w:val="00CF381D"/>
    <w:rsid w:val="00CF3F98"/>
    <w:rsid w:val="00CF72F7"/>
    <w:rsid w:val="00D00457"/>
    <w:rsid w:val="00D028B0"/>
    <w:rsid w:val="00D06D8D"/>
    <w:rsid w:val="00D074D1"/>
    <w:rsid w:val="00D13CED"/>
    <w:rsid w:val="00D214EF"/>
    <w:rsid w:val="00D22761"/>
    <w:rsid w:val="00D24B1A"/>
    <w:rsid w:val="00D3252E"/>
    <w:rsid w:val="00D32F66"/>
    <w:rsid w:val="00D36578"/>
    <w:rsid w:val="00D41AC5"/>
    <w:rsid w:val="00D43664"/>
    <w:rsid w:val="00D43A58"/>
    <w:rsid w:val="00D56159"/>
    <w:rsid w:val="00D63C86"/>
    <w:rsid w:val="00D70CD3"/>
    <w:rsid w:val="00D74BBB"/>
    <w:rsid w:val="00D75AD2"/>
    <w:rsid w:val="00D91716"/>
    <w:rsid w:val="00D96EDD"/>
    <w:rsid w:val="00D97959"/>
    <w:rsid w:val="00DA2D7C"/>
    <w:rsid w:val="00DB3B74"/>
    <w:rsid w:val="00DB6513"/>
    <w:rsid w:val="00DB6636"/>
    <w:rsid w:val="00DB6EEC"/>
    <w:rsid w:val="00DB7D1A"/>
    <w:rsid w:val="00DB7EE2"/>
    <w:rsid w:val="00DC3DC8"/>
    <w:rsid w:val="00DC44BD"/>
    <w:rsid w:val="00DD0F1E"/>
    <w:rsid w:val="00DD1949"/>
    <w:rsid w:val="00DD2325"/>
    <w:rsid w:val="00DD6564"/>
    <w:rsid w:val="00DE0F5E"/>
    <w:rsid w:val="00DE3785"/>
    <w:rsid w:val="00DE3989"/>
    <w:rsid w:val="00DE4EF0"/>
    <w:rsid w:val="00E037DB"/>
    <w:rsid w:val="00E06376"/>
    <w:rsid w:val="00E121BE"/>
    <w:rsid w:val="00E1250F"/>
    <w:rsid w:val="00E15330"/>
    <w:rsid w:val="00E15FC0"/>
    <w:rsid w:val="00E26244"/>
    <w:rsid w:val="00E3748E"/>
    <w:rsid w:val="00E42258"/>
    <w:rsid w:val="00E44E96"/>
    <w:rsid w:val="00E44FEC"/>
    <w:rsid w:val="00E458C5"/>
    <w:rsid w:val="00E47C63"/>
    <w:rsid w:val="00E564CF"/>
    <w:rsid w:val="00E57102"/>
    <w:rsid w:val="00E57814"/>
    <w:rsid w:val="00E636C7"/>
    <w:rsid w:val="00E640D3"/>
    <w:rsid w:val="00E64A87"/>
    <w:rsid w:val="00E70B38"/>
    <w:rsid w:val="00E75821"/>
    <w:rsid w:val="00E7796C"/>
    <w:rsid w:val="00E806FD"/>
    <w:rsid w:val="00E81434"/>
    <w:rsid w:val="00E86CEF"/>
    <w:rsid w:val="00E90CA1"/>
    <w:rsid w:val="00E951C9"/>
    <w:rsid w:val="00EA1DC5"/>
    <w:rsid w:val="00EA3ED6"/>
    <w:rsid w:val="00EA4788"/>
    <w:rsid w:val="00EB098B"/>
    <w:rsid w:val="00EB498A"/>
    <w:rsid w:val="00EB646A"/>
    <w:rsid w:val="00EC0ABB"/>
    <w:rsid w:val="00EC45A8"/>
    <w:rsid w:val="00EE0055"/>
    <w:rsid w:val="00EE5D3B"/>
    <w:rsid w:val="00EE6908"/>
    <w:rsid w:val="00EF39E8"/>
    <w:rsid w:val="00EF7184"/>
    <w:rsid w:val="00F0353C"/>
    <w:rsid w:val="00F0754F"/>
    <w:rsid w:val="00F2004B"/>
    <w:rsid w:val="00F2460F"/>
    <w:rsid w:val="00F261C8"/>
    <w:rsid w:val="00F42997"/>
    <w:rsid w:val="00F51A13"/>
    <w:rsid w:val="00F73B06"/>
    <w:rsid w:val="00F75D73"/>
    <w:rsid w:val="00F771D4"/>
    <w:rsid w:val="00F80426"/>
    <w:rsid w:val="00F81E96"/>
    <w:rsid w:val="00F866B5"/>
    <w:rsid w:val="00F87B42"/>
    <w:rsid w:val="00F97CD1"/>
    <w:rsid w:val="00FA17C0"/>
    <w:rsid w:val="00FA666F"/>
    <w:rsid w:val="00FA7A16"/>
    <w:rsid w:val="00FB2509"/>
    <w:rsid w:val="00FB3A74"/>
    <w:rsid w:val="00FB6BE9"/>
    <w:rsid w:val="00FC03EE"/>
    <w:rsid w:val="00FC586C"/>
    <w:rsid w:val="00FC6345"/>
    <w:rsid w:val="00FD29B8"/>
    <w:rsid w:val="00FD33E0"/>
    <w:rsid w:val="00FD3B5D"/>
    <w:rsid w:val="00FD7A43"/>
    <w:rsid w:val="00FE02F8"/>
    <w:rsid w:val="00FE0CCC"/>
    <w:rsid w:val="00FE25D6"/>
    <w:rsid w:val="00FE68D2"/>
    <w:rsid w:val="00FF00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37FC7EE-7B61-4A73-B560-EB9ED8B76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70A3"/>
    <w:pPr>
      <w:keepNext/>
      <w:spacing w:before="240" w:after="60" w:line="276"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8770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16D9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6D9E"/>
  </w:style>
  <w:style w:type="character" w:styleId="PageNumber">
    <w:name w:val="page number"/>
    <w:basedOn w:val="DefaultParagraphFont"/>
    <w:rsid w:val="00716D9E"/>
  </w:style>
  <w:style w:type="paragraph" w:styleId="ListParagraph">
    <w:name w:val="List Paragraph"/>
    <w:aliases w:val="Dot pt,No Spacing1,List Paragraph Char Char Char,Indicator Text,Numbered Para 1,List Paragraph1,Bullet 1,Bullet Points,MAIN CONTENT,List Paragraph2,OBC Bullet,List Paragraph11,List Paragraph12,F5 List Paragraph,Colorful List - Accent 11"/>
    <w:basedOn w:val="Normal"/>
    <w:link w:val="ListParagraphChar"/>
    <w:uiPriority w:val="34"/>
    <w:qFormat/>
    <w:rsid w:val="00F75D73"/>
    <w:pPr>
      <w:ind w:left="720"/>
      <w:contextualSpacing/>
    </w:pPr>
  </w:style>
  <w:style w:type="paragraph" w:customStyle="1" w:styleId="ruler2">
    <w:name w:val="ruler 2"/>
    <w:basedOn w:val="Normal"/>
    <w:rsid w:val="008213F0"/>
    <w:pPr>
      <w:overflowPunct w:val="0"/>
      <w:autoSpaceDE w:val="0"/>
      <w:autoSpaceDN w:val="0"/>
      <w:spacing w:after="0" w:line="240" w:lineRule="auto"/>
      <w:ind w:right="-25"/>
      <w:jc w:val="both"/>
    </w:pPr>
    <w:rPr>
      <w:rFonts w:ascii="Helvetica" w:eastAsia="Times New Roman" w:hAnsi="Helvetica" w:cs="Helvetica"/>
      <w:color w:val="000000"/>
      <w:lang w:eastAsia="en-GB"/>
    </w:rPr>
  </w:style>
  <w:style w:type="paragraph" w:styleId="BalloonText">
    <w:name w:val="Balloon Text"/>
    <w:basedOn w:val="Normal"/>
    <w:link w:val="BalloonTextChar"/>
    <w:uiPriority w:val="99"/>
    <w:semiHidden/>
    <w:unhideWhenUsed/>
    <w:rsid w:val="009974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4E4"/>
    <w:rPr>
      <w:rFonts w:ascii="Segoe UI" w:hAnsi="Segoe UI" w:cs="Segoe UI"/>
      <w:sz w:val="18"/>
      <w:szCs w:val="18"/>
    </w:rPr>
  </w:style>
  <w:style w:type="paragraph" w:styleId="Header">
    <w:name w:val="header"/>
    <w:basedOn w:val="Normal"/>
    <w:link w:val="HeaderChar"/>
    <w:uiPriority w:val="99"/>
    <w:unhideWhenUsed/>
    <w:rsid w:val="003840B1"/>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40B1"/>
  </w:style>
  <w:style w:type="paragraph" w:styleId="NormalWeb">
    <w:name w:val="Normal (Web)"/>
    <w:basedOn w:val="Normal"/>
    <w:uiPriority w:val="99"/>
    <w:rsid w:val="00E15FC0"/>
    <w:pPr>
      <w:spacing w:before="100" w:beforeAutospacing="1" w:after="100" w:afterAutospacing="1" w:line="240" w:lineRule="auto"/>
    </w:pPr>
    <w:rPr>
      <w:rFonts w:ascii="Arial" w:eastAsia="Times New Roman" w:hAnsi="Arial" w:cs="Times New Roman"/>
      <w:sz w:val="24"/>
      <w:szCs w:val="24"/>
      <w:lang w:val="en-US"/>
    </w:rPr>
  </w:style>
  <w:style w:type="character" w:customStyle="1" w:styleId="ruler2CharChar">
    <w:name w:val="ruler 2 Char Char"/>
    <w:basedOn w:val="DefaultParagraphFont"/>
    <w:link w:val="ruler2Char"/>
    <w:locked/>
    <w:rsid w:val="00F51A13"/>
    <w:rPr>
      <w:rFonts w:ascii="Helvetica" w:hAnsi="Helvetica" w:cs="Helvetica"/>
    </w:rPr>
  </w:style>
  <w:style w:type="paragraph" w:customStyle="1" w:styleId="ruler2Char">
    <w:name w:val="ruler 2 Char"/>
    <w:basedOn w:val="Normal"/>
    <w:link w:val="ruler2CharChar"/>
    <w:rsid w:val="00F51A13"/>
    <w:pPr>
      <w:overflowPunct w:val="0"/>
      <w:autoSpaceDE w:val="0"/>
      <w:autoSpaceDN w:val="0"/>
      <w:spacing w:after="0" w:line="240" w:lineRule="auto"/>
      <w:ind w:right="-25"/>
      <w:jc w:val="both"/>
    </w:pPr>
    <w:rPr>
      <w:rFonts w:ascii="Helvetica" w:hAnsi="Helvetica" w:cs="Helvetica"/>
    </w:rPr>
  </w:style>
  <w:style w:type="character" w:styleId="CommentReference">
    <w:name w:val="annotation reference"/>
    <w:basedOn w:val="DefaultParagraphFont"/>
    <w:uiPriority w:val="99"/>
    <w:semiHidden/>
    <w:unhideWhenUsed/>
    <w:rsid w:val="006474CC"/>
    <w:rPr>
      <w:sz w:val="16"/>
      <w:szCs w:val="16"/>
    </w:rPr>
  </w:style>
  <w:style w:type="paragraph" w:styleId="CommentText">
    <w:name w:val="annotation text"/>
    <w:basedOn w:val="Normal"/>
    <w:link w:val="CommentTextChar"/>
    <w:uiPriority w:val="99"/>
    <w:semiHidden/>
    <w:unhideWhenUsed/>
    <w:rsid w:val="006474CC"/>
    <w:pPr>
      <w:spacing w:line="240" w:lineRule="auto"/>
    </w:pPr>
    <w:rPr>
      <w:sz w:val="20"/>
      <w:szCs w:val="20"/>
    </w:rPr>
  </w:style>
  <w:style w:type="character" w:customStyle="1" w:styleId="CommentTextChar">
    <w:name w:val="Comment Text Char"/>
    <w:basedOn w:val="DefaultParagraphFont"/>
    <w:link w:val="CommentText"/>
    <w:uiPriority w:val="99"/>
    <w:semiHidden/>
    <w:rsid w:val="006474CC"/>
    <w:rPr>
      <w:sz w:val="20"/>
      <w:szCs w:val="20"/>
    </w:rPr>
  </w:style>
  <w:style w:type="paragraph" w:styleId="CommentSubject">
    <w:name w:val="annotation subject"/>
    <w:basedOn w:val="CommentText"/>
    <w:next w:val="CommentText"/>
    <w:link w:val="CommentSubjectChar"/>
    <w:uiPriority w:val="99"/>
    <w:semiHidden/>
    <w:unhideWhenUsed/>
    <w:rsid w:val="006474CC"/>
    <w:rPr>
      <w:b/>
      <w:bCs/>
    </w:rPr>
  </w:style>
  <w:style w:type="character" w:customStyle="1" w:styleId="CommentSubjectChar">
    <w:name w:val="Comment Subject Char"/>
    <w:basedOn w:val="CommentTextChar"/>
    <w:link w:val="CommentSubject"/>
    <w:uiPriority w:val="99"/>
    <w:semiHidden/>
    <w:rsid w:val="006474CC"/>
    <w:rPr>
      <w:b/>
      <w:bCs/>
      <w:sz w:val="20"/>
      <w:szCs w:val="20"/>
    </w:rPr>
  </w:style>
  <w:style w:type="character" w:customStyle="1" w:styleId="Heading1Char">
    <w:name w:val="Heading 1 Char"/>
    <w:basedOn w:val="DefaultParagraphFont"/>
    <w:link w:val="Heading1"/>
    <w:uiPriority w:val="9"/>
    <w:rsid w:val="008770A3"/>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8770A3"/>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59"/>
    <w:rsid w:val="007F03D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List Paragraph2 Char,OBC Bullet Char"/>
    <w:basedOn w:val="DefaultParagraphFont"/>
    <w:link w:val="ListParagraph"/>
    <w:uiPriority w:val="34"/>
    <w:locked/>
    <w:rsid w:val="00FA666F"/>
  </w:style>
  <w:style w:type="paragraph" w:customStyle="1" w:styleId="Default">
    <w:name w:val="Default"/>
    <w:rsid w:val="00CD6383"/>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3700">
      <w:bodyDiv w:val="1"/>
      <w:marLeft w:val="0"/>
      <w:marRight w:val="0"/>
      <w:marTop w:val="0"/>
      <w:marBottom w:val="0"/>
      <w:divBdr>
        <w:top w:val="none" w:sz="0" w:space="0" w:color="auto"/>
        <w:left w:val="none" w:sz="0" w:space="0" w:color="auto"/>
        <w:bottom w:val="none" w:sz="0" w:space="0" w:color="auto"/>
        <w:right w:val="none" w:sz="0" w:space="0" w:color="auto"/>
      </w:divBdr>
    </w:div>
    <w:div w:id="587661662">
      <w:bodyDiv w:val="1"/>
      <w:marLeft w:val="0"/>
      <w:marRight w:val="0"/>
      <w:marTop w:val="0"/>
      <w:marBottom w:val="0"/>
      <w:divBdr>
        <w:top w:val="none" w:sz="0" w:space="0" w:color="auto"/>
        <w:left w:val="none" w:sz="0" w:space="0" w:color="auto"/>
        <w:bottom w:val="none" w:sz="0" w:space="0" w:color="auto"/>
        <w:right w:val="none" w:sz="0" w:space="0" w:color="auto"/>
      </w:divBdr>
    </w:div>
    <w:div w:id="151082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D3E98-7FA1-4CF1-8F44-11D0B41C6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1106</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Belfast City Council - Digital Services</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Hand</dc:creator>
  <cp:keywords/>
  <dc:description/>
  <cp:lastModifiedBy>Paige Jennings</cp:lastModifiedBy>
  <cp:revision>2</cp:revision>
  <cp:lastPrinted>2020-01-13T12:21:00Z</cp:lastPrinted>
  <dcterms:created xsi:type="dcterms:W3CDTF">2020-09-22T09:13:00Z</dcterms:created>
  <dcterms:modified xsi:type="dcterms:W3CDTF">2020-09-22T09:13:00Z</dcterms:modified>
</cp:coreProperties>
</file>